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40" w:rsidRPr="0087426E" w:rsidRDefault="00E40040" w:rsidP="00E40040">
      <w:pPr>
        <w:jc w:val="right"/>
        <w:rPr>
          <w:lang w:val="ro-RO"/>
        </w:rPr>
      </w:pPr>
    </w:p>
    <w:p w:rsidR="00E40040" w:rsidRPr="0087426E" w:rsidRDefault="00E40040" w:rsidP="00E40040">
      <w:pPr>
        <w:jc w:val="right"/>
        <w:rPr>
          <w:lang w:val="ro-RO"/>
        </w:rPr>
      </w:pPr>
    </w:p>
    <w:p w:rsidR="00E40040" w:rsidRPr="0087426E" w:rsidRDefault="00E40040" w:rsidP="00E40040">
      <w:pPr>
        <w:jc w:val="center"/>
        <w:rPr>
          <w:lang w:val="ro-RO"/>
        </w:rPr>
      </w:pPr>
      <w:r w:rsidRPr="0087426E">
        <w:rPr>
          <w:lang w:val="ro-RO"/>
        </w:rPr>
        <w:t>INFORMAȚIE</w:t>
      </w:r>
    </w:p>
    <w:p w:rsidR="00E40040" w:rsidRPr="0087426E" w:rsidRDefault="00E40040" w:rsidP="00E40040">
      <w:pPr>
        <w:jc w:val="center"/>
        <w:rPr>
          <w:lang w:val="ro-RO"/>
        </w:rPr>
      </w:pPr>
      <w:r w:rsidRPr="0087426E">
        <w:rPr>
          <w:lang w:val="ro-RO"/>
        </w:rPr>
        <w:t>privind realizarea în anul 2015 a planului de acțiuni privind</w:t>
      </w:r>
    </w:p>
    <w:p w:rsidR="00E40040" w:rsidRPr="0087426E" w:rsidRDefault="00E40040" w:rsidP="00E40040">
      <w:pPr>
        <w:jc w:val="center"/>
        <w:rPr>
          <w:lang w:val="ro-RO"/>
        </w:rPr>
      </w:pPr>
      <w:r w:rsidRPr="0087426E">
        <w:rPr>
          <w:lang w:val="ro-RO"/>
        </w:rPr>
        <w:t>minimizarea practicii de achitare a salariilor „în plic” și „muncii la negru”,</w:t>
      </w:r>
    </w:p>
    <w:p w:rsidR="00E40040" w:rsidRPr="0087426E" w:rsidRDefault="00E40040" w:rsidP="00E40040">
      <w:pPr>
        <w:jc w:val="center"/>
        <w:rPr>
          <w:lang w:val="ro-RO"/>
        </w:rPr>
      </w:pPr>
      <w:r w:rsidRPr="0087426E">
        <w:rPr>
          <w:lang w:val="ro-RO"/>
        </w:rPr>
        <w:t xml:space="preserve">aprobat prin </w:t>
      </w:r>
      <w:proofErr w:type="spellStart"/>
      <w:r w:rsidRPr="0087426E">
        <w:rPr>
          <w:lang w:val="ro-RO"/>
        </w:rPr>
        <w:t>Hotărîrea</w:t>
      </w:r>
      <w:proofErr w:type="spellEnd"/>
      <w:r w:rsidRPr="0087426E">
        <w:rPr>
          <w:lang w:val="ro-RO"/>
        </w:rPr>
        <w:t xml:space="preserve"> Guvernului nr. 477 din 28.06.2011, </w:t>
      </w:r>
    </w:p>
    <w:p w:rsidR="00E40040" w:rsidRPr="0087426E" w:rsidRDefault="00E40040" w:rsidP="00E40040">
      <w:pPr>
        <w:jc w:val="center"/>
        <w:rPr>
          <w:lang w:val="ro-RO"/>
        </w:rPr>
      </w:pPr>
      <w:r w:rsidRPr="0087426E">
        <w:rPr>
          <w:lang w:val="ro-RO"/>
        </w:rPr>
        <w:t>cu modificările și completările ulterioare</w:t>
      </w:r>
    </w:p>
    <w:p w:rsidR="00E40040" w:rsidRPr="0087426E" w:rsidRDefault="00E40040" w:rsidP="00E40040">
      <w:pPr>
        <w:jc w:val="center"/>
        <w:rPr>
          <w:lang w:val="ro-RO"/>
        </w:rPr>
      </w:pPr>
    </w:p>
    <w:tbl>
      <w:tblPr>
        <w:tblStyle w:val="TableGrid"/>
        <w:tblW w:w="0" w:type="auto"/>
        <w:tblLook w:val="04A0" w:firstRow="1" w:lastRow="0" w:firstColumn="1" w:lastColumn="0" w:noHBand="0" w:noVBand="1"/>
      </w:tblPr>
      <w:tblGrid>
        <w:gridCol w:w="806"/>
        <w:gridCol w:w="2421"/>
        <w:gridCol w:w="4678"/>
        <w:gridCol w:w="1417"/>
        <w:gridCol w:w="1701"/>
        <w:gridCol w:w="4755"/>
      </w:tblGrid>
      <w:tr w:rsidR="000A1B69" w:rsidRPr="0087426E" w:rsidTr="00507289">
        <w:tc>
          <w:tcPr>
            <w:tcW w:w="806" w:type="dxa"/>
          </w:tcPr>
          <w:p w:rsidR="00E40040" w:rsidRPr="0087426E" w:rsidRDefault="00204C83" w:rsidP="00E40040">
            <w:pPr>
              <w:jc w:val="center"/>
              <w:rPr>
                <w:sz w:val="24"/>
                <w:szCs w:val="24"/>
                <w:lang w:val="ro-RO"/>
              </w:rPr>
            </w:pPr>
            <w:r w:rsidRPr="0087426E">
              <w:rPr>
                <w:sz w:val="24"/>
                <w:szCs w:val="24"/>
                <w:lang w:val="ro-RO"/>
              </w:rPr>
              <w:t>Nr. d/o</w:t>
            </w:r>
          </w:p>
        </w:tc>
        <w:tc>
          <w:tcPr>
            <w:tcW w:w="2421" w:type="dxa"/>
          </w:tcPr>
          <w:p w:rsidR="00E40040" w:rsidRPr="0087426E" w:rsidRDefault="00204C83" w:rsidP="00E40040">
            <w:pPr>
              <w:jc w:val="center"/>
              <w:rPr>
                <w:sz w:val="24"/>
                <w:szCs w:val="24"/>
                <w:lang w:val="ro-RO"/>
              </w:rPr>
            </w:pPr>
            <w:r w:rsidRPr="0087426E">
              <w:rPr>
                <w:sz w:val="24"/>
                <w:szCs w:val="24"/>
                <w:lang w:val="ro-RO"/>
              </w:rPr>
              <w:t>Denumirea obiectivelor</w:t>
            </w:r>
          </w:p>
        </w:tc>
        <w:tc>
          <w:tcPr>
            <w:tcW w:w="4678" w:type="dxa"/>
          </w:tcPr>
          <w:p w:rsidR="00E40040" w:rsidRPr="0087426E" w:rsidRDefault="00204C83" w:rsidP="00E40040">
            <w:pPr>
              <w:jc w:val="center"/>
              <w:rPr>
                <w:sz w:val="24"/>
                <w:szCs w:val="24"/>
                <w:lang w:val="ro-RO"/>
              </w:rPr>
            </w:pPr>
            <w:r w:rsidRPr="0087426E">
              <w:rPr>
                <w:sz w:val="24"/>
                <w:szCs w:val="24"/>
                <w:lang w:val="ro-RO"/>
              </w:rPr>
              <w:t>Denumirea acțiunilor</w:t>
            </w:r>
          </w:p>
        </w:tc>
        <w:tc>
          <w:tcPr>
            <w:tcW w:w="1417" w:type="dxa"/>
          </w:tcPr>
          <w:p w:rsidR="00E40040" w:rsidRPr="0087426E" w:rsidRDefault="00204C83" w:rsidP="00E40040">
            <w:pPr>
              <w:jc w:val="center"/>
              <w:rPr>
                <w:sz w:val="24"/>
                <w:szCs w:val="24"/>
                <w:lang w:val="ro-RO"/>
              </w:rPr>
            </w:pPr>
            <w:r w:rsidRPr="0087426E">
              <w:rPr>
                <w:sz w:val="24"/>
                <w:szCs w:val="24"/>
                <w:lang w:val="ro-RO"/>
              </w:rPr>
              <w:t>Termenul de realizare instituția responsabilă</w:t>
            </w:r>
          </w:p>
        </w:tc>
        <w:tc>
          <w:tcPr>
            <w:tcW w:w="1701" w:type="dxa"/>
          </w:tcPr>
          <w:p w:rsidR="00E40040" w:rsidRPr="0087426E" w:rsidRDefault="000A1B69" w:rsidP="00E40040">
            <w:pPr>
              <w:jc w:val="center"/>
              <w:rPr>
                <w:sz w:val="24"/>
                <w:szCs w:val="24"/>
                <w:lang w:val="ro-RO"/>
              </w:rPr>
            </w:pPr>
            <w:r w:rsidRPr="0087426E">
              <w:rPr>
                <w:sz w:val="24"/>
                <w:szCs w:val="24"/>
                <w:lang w:val="ro-RO"/>
              </w:rPr>
              <w:t>Instituția responsabilă</w:t>
            </w:r>
          </w:p>
        </w:tc>
        <w:tc>
          <w:tcPr>
            <w:tcW w:w="4755" w:type="dxa"/>
          </w:tcPr>
          <w:p w:rsidR="00E40040" w:rsidRPr="0087426E" w:rsidRDefault="000A1B69" w:rsidP="00BC3947">
            <w:pPr>
              <w:ind w:firstLine="317"/>
              <w:jc w:val="center"/>
              <w:rPr>
                <w:sz w:val="24"/>
                <w:szCs w:val="24"/>
                <w:lang w:val="ro-RO"/>
              </w:rPr>
            </w:pPr>
            <w:r w:rsidRPr="0087426E">
              <w:rPr>
                <w:sz w:val="24"/>
                <w:szCs w:val="24"/>
                <w:lang w:val="ro-RO"/>
              </w:rPr>
              <w:t>Informația privind stadiul de realizare</w:t>
            </w:r>
          </w:p>
        </w:tc>
      </w:tr>
      <w:tr w:rsidR="000A1B69" w:rsidRPr="0087426E" w:rsidTr="00507289">
        <w:tc>
          <w:tcPr>
            <w:tcW w:w="806" w:type="dxa"/>
          </w:tcPr>
          <w:p w:rsidR="00E40040" w:rsidRPr="0087426E" w:rsidRDefault="00870ACD" w:rsidP="00E40040">
            <w:pPr>
              <w:jc w:val="center"/>
              <w:rPr>
                <w:sz w:val="24"/>
                <w:szCs w:val="24"/>
                <w:lang w:val="ro-RO"/>
              </w:rPr>
            </w:pPr>
            <w:r w:rsidRPr="0087426E">
              <w:rPr>
                <w:sz w:val="24"/>
                <w:szCs w:val="24"/>
                <w:lang w:val="ro-RO"/>
              </w:rPr>
              <w:t>1.</w:t>
            </w:r>
          </w:p>
        </w:tc>
        <w:tc>
          <w:tcPr>
            <w:tcW w:w="2421" w:type="dxa"/>
          </w:tcPr>
          <w:p w:rsidR="00E40040" w:rsidRPr="0087426E" w:rsidRDefault="00870ACD" w:rsidP="00E40040">
            <w:pPr>
              <w:jc w:val="center"/>
              <w:rPr>
                <w:sz w:val="24"/>
                <w:szCs w:val="24"/>
                <w:lang w:val="ro-RO"/>
              </w:rPr>
            </w:pPr>
            <w:r w:rsidRPr="0087426E">
              <w:rPr>
                <w:sz w:val="24"/>
                <w:szCs w:val="24"/>
                <w:lang w:val="ro-RO"/>
              </w:rPr>
              <w:t>2</w:t>
            </w:r>
          </w:p>
        </w:tc>
        <w:tc>
          <w:tcPr>
            <w:tcW w:w="4678" w:type="dxa"/>
          </w:tcPr>
          <w:p w:rsidR="00E40040" w:rsidRPr="0087426E" w:rsidRDefault="00870ACD" w:rsidP="00E40040">
            <w:pPr>
              <w:jc w:val="center"/>
              <w:rPr>
                <w:sz w:val="24"/>
                <w:szCs w:val="24"/>
                <w:lang w:val="ro-RO"/>
              </w:rPr>
            </w:pPr>
            <w:r w:rsidRPr="0087426E">
              <w:rPr>
                <w:sz w:val="24"/>
                <w:szCs w:val="24"/>
                <w:lang w:val="ro-RO"/>
              </w:rPr>
              <w:t>3</w:t>
            </w:r>
          </w:p>
        </w:tc>
        <w:tc>
          <w:tcPr>
            <w:tcW w:w="1417" w:type="dxa"/>
          </w:tcPr>
          <w:p w:rsidR="00E40040" w:rsidRPr="0087426E" w:rsidRDefault="00870ACD" w:rsidP="00E40040">
            <w:pPr>
              <w:jc w:val="center"/>
              <w:rPr>
                <w:sz w:val="24"/>
                <w:szCs w:val="24"/>
                <w:lang w:val="ro-RO"/>
              </w:rPr>
            </w:pPr>
            <w:r w:rsidRPr="0087426E">
              <w:rPr>
                <w:sz w:val="24"/>
                <w:szCs w:val="24"/>
                <w:lang w:val="ro-RO"/>
              </w:rPr>
              <w:t>4</w:t>
            </w:r>
          </w:p>
        </w:tc>
        <w:tc>
          <w:tcPr>
            <w:tcW w:w="1701" w:type="dxa"/>
          </w:tcPr>
          <w:p w:rsidR="00E40040" w:rsidRPr="0087426E" w:rsidRDefault="00870ACD" w:rsidP="00E40040">
            <w:pPr>
              <w:jc w:val="center"/>
              <w:rPr>
                <w:sz w:val="24"/>
                <w:szCs w:val="24"/>
                <w:lang w:val="ro-RO"/>
              </w:rPr>
            </w:pPr>
            <w:r w:rsidRPr="0087426E">
              <w:rPr>
                <w:sz w:val="24"/>
                <w:szCs w:val="24"/>
                <w:lang w:val="ro-RO"/>
              </w:rPr>
              <w:t>5</w:t>
            </w:r>
          </w:p>
        </w:tc>
        <w:tc>
          <w:tcPr>
            <w:tcW w:w="4755" w:type="dxa"/>
          </w:tcPr>
          <w:p w:rsidR="00E40040" w:rsidRPr="0087426E" w:rsidRDefault="00870ACD" w:rsidP="00BC3947">
            <w:pPr>
              <w:ind w:firstLine="317"/>
              <w:jc w:val="center"/>
              <w:rPr>
                <w:sz w:val="24"/>
                <w:szCs w:val="24"/>
                <w:lang w:val="ro-RO"/>
              </w:rPr>
            </w:pPr>
            <w:r w:rsidRPr="0087426E">
              <w:rPr>
                <w:sz w:val="24"/>
                <w:szCs w:val="24"/>
                <w:lang w:val="ro-RO"/>
              </w:rPr>
              <w:t>6</w:t>
            </w:r>
          </w:p>
        </w:tc>
      </w:tr>
      <w:tr w:rsidR="000A1B69" w:rsidRPr="0087426E" w:rsidTr="00507289">
        <w:tc>
          <w:tcPr>
            <w:tcW w:w="806" w:type="dxa"/>
          </w:tcPr>
          <w:p w:rsidR="00E40040" w:rsidRPr="0087426E" w:rsidRDefault="00870ACD" w:rsidP="00E40040">
            <w:pPr>
              <w:jc w:val="center"/>
              <w:rPr>
                <w:sz w:val="24"/>
                <w:szCs w:val="24"/>
                <w:lang w:val="ro-RO"/>
              </w:rPr>
            </w:pPr>
            <w:r w:rsidRPr="0087426E">
              <w:rPr>
                <w:sz w:val="24"/>
                <w:szCs w:val="24"/>
                <w:lang w:val="ro-RO"/>
              </w:rPr>
              <w:t>2.</w:t>
            </w:r>
          </w:p>
        </w:tc>
        <w:tc>
          <w:tcPr>
            <w:tcW w:w="2421" w:type="dxa"/>
          </w:tcPr>
          <w:p w:rsidR="00E40040" w:rsidRPr="0087426E" w:rsidRDefault="00870ACD" w:rsidP="00870ACD">
            <w:pPr>
              <w:rPr>
                <w:sz w:val="24"/>
                <w:szCs w:val="24"/>
                <w:lang w:val="ro-RO"/>
              </w:rPr>
            </w:pPr>
            <w:r w:rsidRPr="0087426E">
              <w:rPr>
                <w:sz w:val="24"/>
                <w:szCs w:val="24"/>
                <w:lang w:val="ro-RO"/>
              </w:rPr>
              <w:t>Perfecționarea evidenței relațiilor de muncă, activității de muncă și a timpului de muncă</w:t>
            </w:r>
          </w:p>
        </w:tc>
        <w:tc>
          <w:tcPr>
            <w:tcW w:w="4678" w:type="dxa"/>
          </w:tcPr>
          <w:p w:rsidR="00E40040" w:rsidRPr="0087426E" w:rsidRDefault="00870ACD" w:rsidP="00870ACD">
            <w:pPr>
              <w:jc w:val="both"/>
              <w:rPr>
                <w:sz w:val="24"/>
                <w:szCs w:val="24"/>
                <w:lang w:val="ro-RO"/>
              </w:rPr>
            </w:pPr>
            <w:r w:rsidRPr="0087426E">
              <w:rPr>
                <w:sz w:val="24"/>
                <w:szCs w:val="24"/>
                <w:lang w:val="ro-RO"/>
              </w:rPr>
              <w:t>2.4 Promovare spre adoptare a Legii zilierilor</w:t>
            </w:r>
          </w:p>
        </w:tc>
        <w:tc>
          <w:tcPr>
            <w:tcW w:w="1417" w:type="dxa"/>
          </w:tcPr>
          <w:p w:rsidR="00E40040" w:rsidRPr="0087426E" w:rsidRDefault="00870ACD" w:rsidP="00E40040">
            <w:pPr>
              <w:jc w:val="center"/>
              <w:rPr>
                <w:sz w:val="24"/>
                <w:szCs w:val="24"/>
                <w:lang w:val="ro-RO"/>
              </w:rPr>
            </w:pPr>
            <w:r w:rsidRPr="0087426E">
              <w:rPr>
                <w:sz w:val="24"/>
                <w:szCs w:val="24"/>
                <w:lang w:val="ro-RO"/>
              </w:rPr>
              <w:t>2015</w:t>
            </w:r>
          </w:p>
        </w:tc>
        <w:tc>
          <w:tcPr>
            <w:tcW w:w="1701" w:type="dxa"/>
          </w:tcPr>
          <w:p w:rsidR="00E40040" w:rsidRPr="0087426E" w:rsidRDefault="00870ACD" w:rsidP="00E5539B">
            <w:pPr>
              <w:jc w:val="center"/>
              <w:rPr>
                <w:sz w:val="24"/>
                <w:szCs w:val="24"/>
                <w:lang w:val="ro-RO"/>
              </w:rPr>
            </w:pPr>
            <w:r w:rsidRPr="0087426E">
              <w:rPr>
                <w:sz w:val="24"/>
                <w:szCs w:val="24"/>
                <w:lang w:val="ro-RO"/>
              </w:rPr>
              <w:t>M</w:t>
            </w:r>
            <w:r w:rsidR="00E5539B" w:rsidRPr="0087426E">
              <w:rPr>
                <w:sz w:val="24"/>
                <w:szCs w:val="24"/>
                <w:lang w:val="ro-RO"/>
              </w:rPr>
              <w:t>inisterul Muncii, Protecției Sociale și Familiei</w:t>
            </w:r>
          </w:p>
        </w:tc>
        <w:tc>
          <w:tcPr>
            <w:tcW w:w="4755" w:type="dxa"/>
          </w:tcPr>
          <w:p w:rsidR="00CE0BB1" w:rsidRDefault="00CE0BB1" w:rsidP="00D02E40">
            <w:pPr>
              <w:jc w:val="both"/>
              <w:rPr>
                <w:sz w:val="24"/>
                <w:szCs w:val="24"/>
                <w:lang w:val="ro-MO"/>
              </w:rPr>
            </w:pPr>
            <w:r>
              <w:rPr>
                <w:sz w:val="24"/>
                <w:szCs w:val="24"/>
                <w:lang w:val="ro-MO"/>
              </w:rPr>
              <w:t xml:space="preserve">     Proiectul de lege cu privire la exercitarea unor activități necalificate cu caracter ocazional desfășurate de zilieri a fost aprobat de Guvern și prezentat Parlamentului spre examinare (HG 605 din 21.07.2014).</w:t>
            </w:r>
          </w:p>
          <w:p w:rsidR="00CE0BB1" w:rsidRDefault="00CE0BB1" w:rsidP="00D02E40">
            <w:pPr>
              <w:jc w:val="both"/>
              <w:rPr>
                <w:sz w:val="24"/>
                <w:szCs w:val="24"/>
                <w:lang w:val="ro-MO"/>
              </w:rPr>
            </w:pPr>
            <w:r>
              <w:rPr>
                <w:sz w:val="24"/>
                <w:szCs w:val="24"/>
                <w:lang w:val="ro-MO"/>
              </w:rPr>
              <w:t xml:space="preserve">     Prin </w:t>
            </w:r>
            <w:proofErr w:type="spellStart"/>
            <w:r>
              <w:rPr>
                <w:sz w:val="24"/>
                <w:szCs w:val="24"/>
                <w:lang w:val="ro-MO"/>
              </w:rPr>
              <w:t>Hotărîrea</w:t>
            </w:r>
            <w:proofErr w:type="spellEnd"/>
            <w:r>
              <w:rPr>
                <w:sz w:val="24"/>
                <w:szCs w:val="24"/>
                <w:lang w:val="ro-MO"/>
              </w:rPr>
              <w:t xml:space="preserve"> Guvernului nr. 4 din 25.02.2015 au fost retrase din Parlament mai </w:t>
            </w:r>
            <w:r w:rsidR="001028FD">
              <w:rPr>
                <w:sz w:val="24"/>
                <w:szCs w:val="24"/>
                <w:lang w:val="ro-MO"/>
              </w:rPr>
              <w:t>multe</w:t>
            </w:r>
            <w:r>
              <w:rPr>
                <w:sz w:val="24"/>
                <w:szCs w:val="24"/>
                <w:lang w:val="ro-MO"/>
              </w:rPr>
              <w:t xml:space="preserve"> proiecte, printre care a fost și proiectul legii vizat.</w:t>
            </w:r>
          </w:p>
          <w:p w:rsidR="00CE0BB1" w:rsidRDefault="00CE0BB1" w:rsidP="00D02E40">
            <w:pPr>
              <w:jc w:val="both"/>
              <w:rPr>
                <w:sz w:val="24"/>
                <w:szCs w:val="24"/>
                <w:lang w:val="ro-MO"/>
              </w:rPr>
            </w:pPr>
            <w:r>
              <w:rPr>
                <w:sz w:val="24"/>
                <w:szCs w:val="24"/>
                <w:lang w:val="ro-MO"/>
              </w:rPr>
              <w:t xml:space="preserve">     Astfel, proiectul a fost expediat repetat spre </w:t>
            </w:r>
          </w:p>
          <w:p w:rsidR="00D02E40" w:rsidRPr="00D02E40" w:rsidRDefault="001028FD" w:rsidP="00D02E40">
            <w:pPr>
              <w:jc w:val="both"/>
              <w:rPr>
                <w:sz w:val="24"/>
                <w:szCs w:val="24"/>
                <w:lang w:val="ro-MO"/>
              </w:rPr>
            </w:pPr>
            <w:r>
              <w:rPr>
                <w:sz w:val="24"/>
                <w:szCs w:val="24"/>
                <w:lang w:val="ro-MO"/>
              </w:rPr>
              <w:t>a</w:t>
            </w:r>
            <w:r w:rsidR="00D02E40" w:rsidRPr="00D02E40">
              <w:rPr>
                <w:sz w:val="24"/>
                <w:szCs w:val="24"/>
                <w:lang w:val="ro-MO"/>
              </w:rPr>
              <w:t>vizare</w:t>
            </w:r>
            <w:r w:rsidR="00CE0BB1">
              <w:rPr>
                <w:sz w:val="24"/>
                <w:szCs w:val="24"/>
                <w:lang w:val="ro-MO"/>
              </w:rPr>
              <w:t xml:space="preserve"> autorităților interesate</w:t>
            </w:r>
            <w:r w:rsidR="00D02E40" w:rsidRPr="00D02E40">
              <w:rPr>
                <w:sz w:val="24"/>
                <w:szCs w:val="24"/>
                <w:lang w:val="ro-MO"/>
              </w:rPr>
              <w:t>, însă a fost avizat negativ de majoritatea instituțiilor. Motive invocate:</w:t>
            </w:r>
          </w:p>
          <w:p w:rsidR="00D02E40" w:rsidRPr="00D02E40" w:rsidRDefault="00D02E40" w:rsidP="00D02E40">
            <w:pPr>
              <w:autoSpaceDE w:val="0"/>
              <w:autoSpaceDN w:val="0"/>
              <w:adjustRightInd w:val="0"/>
              <w:spacing w:before="120"/>
              <w:jc w:val="both"/>
              <w:rPr>
                <w:sz w:val="24"/>
                <w:szCs w:val="24"/>
                <w:lang w:val="ro-MO"/>
              </w:rPr>
            </w:pPr>
            <w:r w:rsidRPr="00D02E40">
              <w:rPr>
                <w:sz w:val="24"/>
                <w:szCs w:val="24"/>
                <w:lang w:val="ro-MO"/>
              </w:rPr>
              <w:t>aprobarea Legii va contribui la evaziuni fiscale mari din partea agenților economici care vor angaja zilieri (lipsa mecanismelor de plata a impozitelor pentru munca ocazională);</w:t>
            </w:r>
          </w:p>
          <w:p w:rsidR="00D02E40" w:rsidRPr="00D02E40" w:rsidRDefault="00D02E40" w:rsidP="00D02E40">
            <w:pPr>
              <w:autoSpaceDE w:val="0"/>
              <w:autoSpaceDN w:val="0"/>
              <w:adjustRightInd w:val="0"/>
              <w:spacing w:before="120"/>
              <w:jc w:val="both"/>
              <w:rPr>
                <w:sz w:val="24"/>
                <w:szCs w:val="24"/>
                <w:lang w:val="ro-MO"/>
              </w:rPr>
            </w:pPr>
            <w:r w:rsidRPr="00D02E40">
              <w:rPr>
                <w:sz w:val="24"/>
                <w:szCs w:val="24"/>
                <w:lang w:val="ro-MO"/>
              </w:rPr>
              <w:t xml:space="preserve">aprobarea legii nu garantează  că munca zilierilor va fi declarată. Un angajator poate declara că el are 3 zilieri, în timp ce lucrează cu 30 de persoane. </w:t>
            </w:r>
          </w:p>
          <w:p w:rsidR="00A53A2D" w:rsidRPr="00D02E40" w:rsidRDefault="00D02E40" w:rsidP="0039739C">
            <w:pPr>
              <w:autoSpaceDE w:val="0"/>
              <w:autoSpaceDN w:val="0"/>
              <w:adjustRightInd w:val="0"/>
              <w:spacing w:before="120"/>
              <w:jc w:val="both"/>
              <w:rPr>
                <w:sz w:val="24"/>
                <w:szCs w:val="24"/>
              </w:rPr>
            </w:pPr>
            <w:r w:rsidRPr="00D02E40">
              <w:rPr>
                <w:sz w:val="24"/>
                <w:szCs w:val="24"/>
                <w:lang w:val="ro-MO"/>
              </w:rPr>
              <w:lastRenderedPageBreak/>
              <w:t>Activitatea desfăşurată în condiţiile acestei legi nu conferă zilierului calitatea de asigurat în sistemul public de pensii, sistemul asigurărilor sociale pentru şomaj şi nici în sistemul de asigurări sociale de sănătate.</w:t>
            </w:r>
            <w:r w:rsidRPr="00FE3A13">
              <w:rPr>
                <w:sz w:val="24"/>
                <w:szCs w:val="24"/>
              </w:rPr>
              <w:t xml:space="preserve"> </w:t>
            </w:r>
          </w:p>
        </w:tc>
      </w:tr>
      <w:tr w:rsidR="000A1B69" w:rsidRPr="0087426E" w:rsidTr="00507289">
        <w:tc>
          <w:tcPr>
            <w:tcW w:w="806" w:type="dxa"/>
          </w:tcPr>
          <w:p w:rsidR="00E40040" w:rsidRPr="0087426E" w:rsidRDefault="00870ACD" w:rsidP="00E40040">
            <w:pPr>
              <w:jc w:val="center"/>
              <w:rPr>
                <w:sz w:val="24"/>
                <w:szCs w:val="24"/>
                <w:lang w:val="ro-RO"/>
              </w:rPr>
            </w:pPr>
            <w:r w:rsidRPr="0087426E">
              <w:rPr>
                <w:sz w:val="24"/>
                <w:szCs w:val="24"/>
                <w:lang w:val="ro-RO"/>
              </w:rPr>
              <w:lastRenderedPageBreak/>
              <w:t>3.</w:t>
            </w:r>
          </w:p>
        </w:tc>
        <w:tc>
          <w:tcPr>
            <w:tcW w:w="2421" w:type="dxa"/>
          </w:tcPr>
          <w:p w:rsidR="00E40040" w:rsidRPr="0087426E" w:rsidRDefault="00870ACD" w:rsidP="003E0074">
            <w:pPr>
              <w:rPr>
                <w:sz w:val="24"/>
                <w:szCs w:val="24"/>
                <w:lang w:val="ro-RO"/>
              </w:rPr>
            </w:pPr>
            <w:r w:rsidRPr="0087426E">
              <w:rPr>
                <w:sz w:val="24"/>
                <w:szCs w:val="24"/>
                <w:lang w:val="ro-RO"/>
              </w:rPr>
              <w:t>Sporirea cotei înregist</w:t>
            </w:r>
            <w:r w:rsidR="003E0074" w:rsidRPr="0087426E">
              <w:rPr>
                <w:sz w:val="24"/>
                <w:szCs w:val="24"/>
                <w:lang w:val="ro-RO"/>
              </w:rPr>
              <w:t>ra</w:t>
            </w:r>
            <w:r w:rsidRPr="0087426E">
              <w:rPr>
                <w:sz w:val="24"/>
                <w:szCs w:val="24"/>
                <w:lang w:val="ro-RO"/>
              </w:rPr>
              <w:t>te</w:t>
            </w:r>
            <w:r w:rsidR="00017F5C" w:rsidRPr="0087426E">
              <w:rPr>
                <w:sz w:val="24"/>
                <w:szCs w:val="24"/>
                <w:lang w:val="ro-RO"/>
              </w:rPr>
              <w:t xml:space="preserve"> a salariului</w:t>
            </w:r>
          </w:p>
        </w:tc>
        <w:tc>
          <w:tcPr>
            <w:tcW w:w="4678" w:type="dxa"/>
          </w:tcPr>
          <w:p w:rsidR="00E40040" w:rsidRPr="0087426E" w:rsidRDefault="00017F5C" w:rsidP="00017F5C">
            <w:pPr>
              <w:jc w:val="both"/>
              <w:rPr>
                <w:sz w:val="24"/>
                <w:szCs w:val="24"/>
                <w:lang w:val="ro-RO"/>
              </w:rPr>
            </w:pPr>
            <w:r w:rsidRPr="0087426E">
              <w:rPr>
                <w:sz w:val="24"/>
                <w:szCs w:val="24"/>
                <w:lang w:val="ro-RO"/>
              </w:rPr>
              <w:t>3.2 Majorarea anuală a cuantumului minim garantat al salariului în sectorul real, în funcție de creșterea anuală sumară a indicelui prețurilor de consum și a ratei productivității muncii la nivel național</w:t>
            </w:r>
          </w:p>
        </w:tc>
        <w:tc>
          <w:tcPr>
            <w:tcW w:w="1417" w:type="dxa"/>
          </w:tcPr>
          <w:p w:rsidR="00E40040" w:rsidRPr="0087426E" w:rsidRDefault="00E5539B" w:rsidP="00E40040">
            <w:pPr>
              <w:jc w:val="center"/>
              <w:rPr>
                <w:sz w:val="24"/>
                <w:szCs w:val="24"/>
                <w:lang w:val="ro-RO"/>
              </w:rPr>
            </w:pPr>
            <w:r w:rsidRPr="0087426E">
              <w:rPr>
                <w:sz w:val="24"/>
                <w:szCs w:val="24"/>
                <w:lang w:val="ro-RO"/>
              </w:rPr>
              <w:t>A</w:t>
            </w:r>
            <w:r w:rsidR="00017F5C" w:rsidRPr="0087426E">
              <w:rPr>
                <w:sz w:val="24"/>
                <w:szCs w:val="24"/>
                <w:lang w:val="ro-RO"/>
              </w:rPr>
              <w:t>nual</w:t>
            </w:r>
            <w:r w:rsidRPr="0087426E">
              <w:rPr>
                <w:sz w:val="24"/>
                <w:szCs w:val="24"/>
                <w:lang w:val="ro-RO"/>
              </w:rPr>
              <w:t xml:space="preserve"> </w:t>
            </w:r>
          </w:p>
        </w:tc>
        <w:tc>
          <w:tcPr>
            <w:tcW w:w="1701" w:type="dxa"/>
          </w:tcPr>
          <w:p w:rsidR="00E40040" w:rsidRPr="0087426E" w:rsidRDefault="00E5539B" w:rsidP="00E40040">
            <w:pPr>
              <w:jc w:val="center"/>
              <w:rPr>
                <w:sz w:val="24"/>
                <w:szCs w:val="24"/>
                <w:lang w:val="ro-RO"/>
              </w:rPr>
            </w:pPr>
            <w:r w:rsidRPr="0087426E">
              <w:rPr>
                <w:sz w:val="24"/>
                <w:szCs w:val="24"/>
                <w:lang w:val="ro-RO"/>
              </w:rPr>
              <w:t>Ministerul Muncii, Protecției Sociale și Familiei, partenerii sociali</w:t>
            </w:r>
          </w:p>
        </w:tc>
        <w:tc>
          <w:tcPr>
            <w:tcW w:w="4755" w:type="dxa"/>
          </w:tcPr>
          <w:p w:rsidR="00507289" w:rsidRPr="0087426E" w:rsidRDefault="00507289" w:rsidP="00BC3947">
            <w:pPr>
              <w:pStyle w:val="tt"/>
              <w:ind w:firstLine="317"/>
              <w:jc w:val="both"/>
              <w:rPr>
                <w:b w:val="0"/>
                <w:i/>
                <w:lang w:val="ro-RO"/>
              </w:rPr>
            </w:pPr>
            <w:r w:rsidRPr="0087426E">
              <w:rPr>
                <w:b w:val="0"/>
                <w:bCs w:val="0"/>
                <w:lang w:val="ro-RO"/>
              </w:rPr>
              <w:t xml:space="preserve">Prin </w:t>
            </w:r>
            <w:proofErr w:type="spellStart"/>
            <w:r w:rsidRPr="0087426E">
              <w:rPr>
                <w:b w:val="0"/>
                <w:bCs w:val="0"/>
                <w:lang w:val="ro-RO"/>
              </w:rPr>
              <w:t>Hotărîrea</w:t>
            </w:r>
            <w:proofErr w:type="spellEnd"/>
            <w:r w:rsidRPr="0087426E">
              <w:rPr>
                <w:b w:val="0"/>
                <w:bCs w:val="0"/>
                <w:lang w:val="ro-RO"/>
              </w:rPr>
              <w:t xml:space="preserve"> nr. 219 din  29.04.2015, cu privire la modificarea punctului 1 din </w:t>
            </w:r>
            <w:proofErr w:type="spellStart"/>
            <w:r w:rsidRPr="0087426E">
              <w:rPr>
                <w:b w:val="0"/>
                <w:bCs w:val="0"/>
                <w:lang w:val="ro-RO"/>
              </w:rPr>
              <w:t>Hotărîrea</w:t>
            </w:r>
            <w:proofErr w:type="spellEnd"/>
            <w:r w:rsidRPr="0087426E">
              <w:rPr>
                <w:b w:val="0"/>
                <w:bCs w:val="0"/>
                <w:lang w:val="ro-RO"/>
              </w:rPr>
              <w:t xml:space="preserve"> Guvernului nr. 165 din 9 martie 2010, </w:t>
            </w:r>
            <w:proofErr w:type="spellStart"/>
            <w:r w:rsidRPr="0087426E">
              <w:rPr>
                <w:b w:val="0"/>
                <w:bCs w:val="0"/>
                <w:lang w:val="ro-RO"/>
              </w:rPr>
              <w:t>începînd</w:t>
            </w:r>
            <w:proofErr w:type="spellEnd"/>
            <w:r w:rsidRPr="0087426E">
              <w:rPr>
                <w:b w:val="0"/>
                <w:bCs w:val="0"/>
                <w:lang w:val="ro-RO"/>
              </w:rPr>
              <w:t xml:space="preserve"> cu 1 mai 2015, cuantumul minim garantat al salariului în sectorul real a fost majorat de la 1650 de lei </w:t>
            </w:r>
            <w:proofErr w:type="spellStart"/>
            <w:r w:rsidRPr="0087426E">
              <w:rPr>
                <w:b w:val="0"/>
                <w:bCs w:val="0"/>
                <w:lang w:val="ro-RO"/>
              </w:rPr>
              <w:t>pînă</w:t>
            </w:r>
            <w:proofErr w:type="spellEnd"/>
            <w:r w:rsidRPr="0087426E">
              <w:rPr>
                <w:b w:val="0"/>
                <w:bCs w:val="0"/>
                <w:lang w:val="ro-RO"/>
              </w:rPr>
              <w:t xml:space="preserve"> la 1900 de lei.</w:t>
            </w:r>
            <w:r w:rsidRPr="0087426E">
              <w:rPr>
                <w:b w:val="0"/>
                <w:i/>
                <w:lang w:val="ro-RO"/>
              </w:rPr>
              <w:t xml:space="preserve"> </w:t>
            </w:r>
          </w:p>
          <w:p w:rsidR="00E40040" w:rsidRPr="0087426E" w:rsidRDefault="00507289" w:rsidP="0039739C">
            <w:pPr>
              <w:ind w:firstLine="317"/>
              <w:jc w:val="both"/>
              <w:rPr>
                <w:sz w:val="24"/>
                <w:szCs w:val="24"/>
                <w:lang w:val="ro-RO"/>
              </w:rPr>
            </w:pPr>
            <w:r w:rsidRPr="0087426E">
              <w:rPr>
                <w:lang w:val="ro-RO"/>
              </w:rPr>
              <w:t xml:space="preserve">   </w:t>
            </w:r>
            <w:r w:rsidRPr="0087426E">
              <w:rPr>
                <w:sz w:val="24"/>
                <w:szCs w:val="24"/>
                <w:lang w:val="ro-RO"/>
              </w:rPr>
              <w:t xml:space="preserve">Astfel, agenții economici care </w:t>
            </w:r>
            <w:proofErr w:type="spellStart"/>
            <w:r w:rsidRPr="0087426E">
              <w:rPr>
                <w:sz w:val="24"/>
                <w:szCs w:val="24"/>
                <w:lang w:val="ro-RO"/>
              </w:rPr>
              <w:t>pînă</w:t>
            </w:r>
            <w:proofErr w:type="spellEnd"/>
            <w:r w:rsidRPr="0087426E">
              <w:rPr>
                <w:sz w:val="24"/>
                <w:szCs w:val="24"/>
                <w:lang w:val="ro-RO"/>
              </w:rPr>
              <w:t xml:space="preserve"> la 1 mai 2015 indicau pentru salariații săi, indiferent de funcția deținută și volumul de muncă îndeplinit, un salariu de 1650 lei pe lună, restul plătindu-l neoficial „în plic”, după această dată au fost nevoiți să scoată „din plic” cel puțin 250 lei la f</w:t>
            </w:r>
            <w:r w:rsidR="00E15D72">
              <w:rPr>
                <w:sz w:val="24"/>
                <w:szCs w:val="24"/>
                <w:lang w:val="ro-RO"/>
              </w:rPr>
              <w:t>iecare salariat, sporind astfel</w:t>
            </w:r>
            <w:r w:rsidRPr="0087426E">
              <w:rPr>
                <w:sz w:val="24"/>
                <w:szCs w:val="24"/>
                <w:lang w:val="ro-RO"/>
              </w:rPr>
              <w:t xml:space="preserve"> cota înregistrată a salariului și suma contribuțiilor de asigurări sociale de stat.     </w:t>
            </w:r>
          </w:p>
        </w:tc>
      </w:tr>
      <w:tr w:rsidR="000A1B69" w:rsidRPr="0087426E" w:rsidTr="00507289">
        <w:tc>
          <w:tcPr>
            <w:tcW w:w="806" w:type="dxa"/>
          </w:tcPr>
          <w:p w:rsidR="00E40040" w:rsidRPr="0087426E" w:rsidRDefault="00E40040" w:rsidP="00E40040">
            <w:pPr>
              <w:jc w:val="center"/>
              <w:rPr>
                <w:lang w:val="ro-RO"/>
              </w:rPr>
            </w:pPr>
          </w:p>
        </w:tc>
        <w:tc>
          <w:tcPr>
            <w:tcW w:w="2421" w:type="dxa"/>
          </w:tcPr>
          <w:p w:rsidR="00E40040" w:rsidRPr="0087426E" w:rsidRDefault="00E40040" w:rsidP="00017F5C">
            <w:pPr>
              <w:rPr>
                <w:lang w:val="ro-RO"/>
              </w:rPr>
            </w:pPr>
          </w:p>
        </w:tc>
        <w:tc>
          <w:tcPr>
            <w:tcW w:w="4678" w:type="dxa"/>
          </w:tcPr>
          <w:p w:rsidR="00E40040" w:rsidRPr="0087426E" w:rsidRDefault="00017F5C" w:rsidP="00E5539B">
            <w:pPr>
              <w:jc w:val="both"/>
              <w:rPr>
                <w:lang w:val="ro-RO"/>
              </w:rPr>
            </w:pPr>
            <w:r w:rsidRPr="0087426E">
              <w:rPr>
                <w:sz w:val="24"/>
                <w:szCs w:val="24"/>
                <w:lang w:val="ro-RO" w:eastAsia="ro-RO"/>
              </w:rPr>
              <w:t xml:space="preserve">3.3. Negocierea şi stabilirea în convenţiile colective </w:t>
            </w:r>
            <w:proofErr w:type="spellStart"/>
            <w:r w:rsidRPr="0087426E">
              <w:rPr>
                <w:sz w:val="24"/>
                <w:szCs w:val="24"/>
                <w:lang w:val="ro-RO" w:eastAsia="ro-RO"/>
              </w:rPr>
              <w:t>ramurale</w:t>
            </w:r>
            <w:proofErr w:type="spellEnd"/>
            <w:r w:rsidRPr="0087426E">
              <w:rPr>
                <w:sz w:val="24"/>
                <w:szCs w:val="24"/>
                <w:lang w:val="ro-RO" w:eastAsia="ro-RO"/>
              </w:rPr>
              <w:t>, în cazul aplicării sistemului tarifar de salarizare, a unor mărimi concrete ale salariului tarifar pentru categoria I de calificare, obligatorii pentru salariaţii şi angajatorii ai căror reprezentanţi au încheiat convenţia colectivă respectivă</w:t>
            </w:r>
          </w:p>
        </w:tc>
        <w:tc>
          <w:tcPr>
            <w:tcW w:w="1417" w:type="dxa"/>
          </w:tcPr>
          <w:p w:rsidR="00E40040" w:rsidRPr="0087426E" w:rsidRDefault="00E5539B" w:rsidP="00E40040">
            <w:pPr>
              <w:jc w:val="center"/>
              <w:rPr>
                <w:sz w:val="24"/>
                <w:szCs w:val="24"/>
                <w:lang w:val="ro-RO"/>
              </w:rPr>
            </w:pPr>
            <w:r w:rsidRPr="0087426E">
              <w:rPr>
                <w:sz w:val="24"/>
                <w:szCs w:val="24"/>
                <w:lang w:val="ro-RO"/>
              </w:rPr>
              <w:t>Anual</w:t>
            </w:r>
          </w:p>
        </w:tc>
        <w:tc>
          <w:tcPr>
            <w:tcW w:w="1701" w:type="dxa"/>
          </w:tcPr>
          <w:p w:rsidR="00E40040" w:rsidRPr="0087426E" w:rsidRDefault="00E5539B" w:rsidP="00E40040">
            <w:pPr>
              <w:jc w:val="center"/>
              <w:rPr>
                <w:sz w:val="24"/>
                <w:szCs w:val="24"/>
                <w:lang w:val="ro-RO"/>
              </w:rPr>
            </w:pPr>
            <w:r w:rsidRPr="0087426E">
              <w:rPr>
                <w:sz w:val="24"/>
                <w:szCs w:val="24"/>
                <w:lang w:val="ro-RO"/>
              </w:rPr>
              <w:t>Ministerele de ramură, Ministerul Muncii, Protecției Sociale și Familiei, partenerii sociali</w:t>
            </w:r>
          </w:p>
        </w:tc>
        <w:tc>
          <w:tcPr>
            <w:tcW w:w="4755" w:type="dxa"/>
          </w:tcPr>
          <w:p w:rsidR="008563D9" w:rsidRPr="008A3DE4" w:rsidRDefault="008563D9" w:rsidP="00BC3947">
            <w:pPr>
              <w:ind w:firstLine="317"/>
              <w:jc w:val="both"/>
              <w:rPr>
                <w:sz w:val="24"/>
                <w:szCs w:val="24"/>
                <w:lang w:val="ro-RO"/>
              </w:rPr>
            </w:pPr>
            <w:r w:rsidRPr="008A3DE4">
              <w:rPr>
                <w:sz w:val="24"/>
                <w:szCs w:val="24"/>
                <w:lang w:val="ro-RO"/>
              </w:rPr>
              <w:t>Pe parcursul anului 2015 au fost semnate</w:t>
            </w:r>
            <w:r w:rsidR="00EC090C" w:rsidRPr="008A3DE4">
              <w:rPr>
                <w:sz w:val="24"/>
                <w:szCs w:val="24"/>
                <w:lang w:val="ro-RO"/>
              </w:rPr>
              <w:t xml:space="preserve"> 10</w:t>
            </w:r>
            <w:r w:rsidRPr="008A3DE4">
              <w:rPr>
                <w:sz w:val="24"/>
                <w:szCs w:val="24"/>
                <w:lang w:val="ro-RO"/>
              </w:rPr>
              <w:t xml:space="preserve">   convenții colective la nivel de ramură</w:t>
            </w:r>
            <w:r w:rsidR="00EF15B2" w:rsidRPr="008A3DE4">
              <w:rPr>
                <w:sz w:val="24"/>
                <w:szCs w:val="24"/>
                <w:lang w:val="ro-RO"/>
              </w:rPr>
              <w:t>.</w:t>
            </w:r>
          </w:p>
          <w:p w:rsidR="00EF15B2" w:rsidRPr="008A3DE4" w:rsidRDefault="00EF15B2" w:rsidP="00BC3947">
            <w:pPr>
              <w:ind w:firstLine="317"/>
              <w:jc w:val="both"/>
              <w:rPr>
                <w:sz w:val="24"/>
                <w:szCs w:val="24"/>
                <w:lang w:val="ro-RO"/>
              </w:rPr>
            </w:pPr>
            <w:r w:rsidRPr="008A3DE4">
              <w:rPr>
                <w:sz w:val="24"/>
                <w:szCs w:val="24"/>
                <w:lang w:val="ro-RO"/>
              </w:rPr>
              <w:t>În sectorul agroindustrial și în alte  ramuri conexe, salariul tarifar pentru I categorie de calificare nu a fost modificat.</w:t>
            </w:r>
          </w:p>
          <w:p w:rsidR="008A3DE4" w:rsidRDefault="00EF15B2" w:rsidP="00BC3947">
            <w:pPr>
              <w:ind w:firstLine="317"/>
              <w:jc w:val="both"/>
              <w:rPr>
                <w:sz w:val="24"/>
                <w:szCs w:val="24"/>
                <w:lang w:val="ro-RO"/>
              </w:rPr>
            </w:pPr>
            <w:r w:rsidRPr="008A3DE4">
              <w:rPr>
                <w:sz w:val="24"/>
                <w:szCs w:val="24"/>
                <w:lang w:val="ro-RO"/>
              </w:rPr>
              <w:t xml:space="preserve"> Ministerul Agriculturii și Industriei Alimentare,</w:t>
            </w:r>
            <w:r w:rsidR="009B7D9D" w:rsidRPr="008A3DE4">
              <w:rPr>
                <w:sz w:val="24"/>
                <w:szCs w:val="24"/>
                <w:lang w:val="ro-RO"/>
              </w:rPr>
              <w:t xml:space="preserve"> în colaborare cu partenerii sociali (FNSAA „</w:t>
            </w:r>
            <w:proofErr w:type="spellStart"/>
            <w:r w:rsidR="009B7D9D" w:rsidRPr="008A3DE4">
              <w:rPr>
                <w:sz w:val="24"/>
                <w:szCs w:val="24"/>
                <w:lang w:val="ro-RO"/>
              </w:rPr>
              <w:t>Agroindsind</w:t>
            </w:r>
            <w:proofErr w:type="spellEnd"/>
            <w:r w:rsidR="009B7D9D" w:rsidRPr="008A3DE4">
              <w:rPr>
                <w:sz w:val="24"/>
                <w:szCs w:val="24"/>
                <w:lang w:val="ro-RO"/>
              </w:rPr>
              <w:t xml:space="preserve">” și </w:t>
            </w:r>
            <w:proofErr w:type="spellStart"/>
            <w:r w:rsidR="009B7D9D" w:rsidRPr="008A3DE4">
              <w:rPr>
                <w:sz w:val="24"/>
                <w:szCs w:val="24"/>
                <w:lang w:val="ro-RO"/>
              </w:rPr>
              <w:t>UniAgroProiect</w:t>
            </w:r>
            <w:proofErr w:type="spellEnd"/>
            <w:r w:rsidR="009B7D9D" w:rsidRPr="008A3DE4">
              <w:rPr>
                <w:sz w:val="24"/>
                <w:szCs w:val="24"/>
                <w:lang w:val="ro-RO"/>
              </w:rPr>
              <w:t xml:space="preserve">), au demarat negocieri la nivel de ramură, întru majorarea salariilor tarifare pentru categoria I de calificare în ramurile sectorului agroindustrial, la un nivel mai înalt de cel stabilit. În prezent propunerile </w:t>
            </w:r>
            <w:r w:rsidR="00FD13D0" w:rsidRPr="008A3DE4">
              <w:rPr>
                <w:sz w:val="24"/>
                <w:szCs w:val="24"/>
                <w:lang w:val="ro-RO"/>
              </w:rPr>
              <w:t>se examinează de către partenerii sociali</w:t>
            </w:r>
            <w:r w:rsidR="007020C9" w:rsidRPr="008A3DE4">
              <w:rPr>
                <w:sz w:val="24"/>
                <w:szCs w:val="24"/>
                <w:lang w:val="ro-RO"/>
              </w:rPr>
              <w:t xml:space="preserve">, și în timpul apropiat se va convoca ședința Comisiei pentru </w:t>
            </w:r>
            <w:r w:rsidR="007020C9" w:rsidRPr="008A3DE4">
              <w:rPr>
                <w:sz w:val="24"/>
                <w:szCs w:val="24"/>
                <w:lang w:val="ro-RO"/>
              </w:rPr>
              <w:lastRenderedPageBreak/>
              <w:t>consultări și negocieri colective de ramură pentru a fi luată decizia respectivă.</w:t>
            </w:r>
            <w:r w:rsidR="007020C9">
              <w:rPr>
                <w:sz w:val="24"/>
                <w:szCs w:val="24"/>
                <w:lang w:val="ro-RO"/>
              </w:rPr>
              <w:t xml:space="preserve">    </w:t>
            </w:r>
          </w:p>
          <w:p w:rsidR="007020C9" w:rsidRPr="0081031E" w:rsidRDefault="008A3DE4" w:rsidP="00BC3947">
            <w:pPr>
              <w:ind w:firstLine="317"/>
              <w:jc w:val="both"/>
              <w:rPr>
                <w:color w:val="FF0000"/>
                <w:sz w:val="24"/>
                <w:szCs w:val="24"/>
                <w:lang w:val="ro-RO"/>
              </w:rPr>
            </w:pPr>
            <w:r>
              <w:rPr>
                <w:sz w:val="24"/>
                <w:szCs w:val="24"/>
                <w:lang w:val="ro-RO"/>
              </w:rPr>
              <w:t xml:space="preserve">  </w:t>
            </w:r>
            <w:r w:rsidR="008F204D">
              <w:rPr>
                <w:sz w:val="24"/>
                <w:szCs w:val="24"/>
                <w:lang w:val="ro-RO"/>
              </w:rPr>
              <w:t xml:space="preserve">În </w:t>
            </w:r>
            <w:proofErr w:type="spellStart"/>
            <w:r w:rsidR="004D2E47">
              <w:rPr>
                <w:sz w:val="24"/>
                <w:szCs w:val="24"/>
                <w:lang w:val="ro-RO"/>
              </w:rPr>
              <w:t>acelaș</w:t>
            </w:r>
            <w:proofErr w:type="spellEnd"/>
            <w:r w:rsidR="008F204D">
              <w:rPr>
                <w:sz w:val="24"/>
                <w:szCs w:val="24"/>
                <w:lang w:val="ro-RO"/>
              </w:rPr>
              <w:t xml:space="preserve"> timp, Ministerul Transporturilor și Infrastructurii Drumurilor, în comun cu partenerii sociali, au  operat modificări la convenția colectivă la nivel de ramură, unde au convenit că,  salariul tarifar pentru I categorie de calificare se stabilește în mărimea</w:t>
            </w:r>
            <w:r w:rsidR="00A21162">
              <w:rPr>
                <w:sz w:val="24"/>
                <w:szCs w:val="24"/>
                <w:lang w:val="ro-RO"/>
              </w:rPr>
              <w:t xml:space="preserve"> cuantumului minim garantat al salariului în sectorul real care în prezent este de 1900 lei.</w:t>
            </w:r>
          </w:p>
        </w:tc>
      </w:tr>
      <w:tr w:rsidR="00E5539B" w:rsidRPr="0087426E" w:rsidTr="00507289">
        <w:tc>
          <w:tcPr>
            <w:tcW w:w="806" w:type="dxa"/>
          </w:tcPr>
          <w:p w:rsidR="00E5539B" w:rsidRPr="0087426E" w:rsidRDefault="00E5539B" w:rsidP="00E40040">
            <w:pPr>
              <w:jc w:val="center"/>
              <w:rPr>
                <w:lang w:val="ro-RO"/>
              </w:rPr>
            </w:pPr>
          </w:p>
        </w:tc>
        <w:tc>
          <w:tcPr>
            <w:tcW w:w="2421" w:type="dxa"/>
          </w:tcPr>
          <w:p w:rsidR="00E5539B" w:rsidRPr="0087426E" w:rsidRDefault="00E5539B" w:rsidP="00017F5C">
            <w:pPr>
              <w:rPr>
                <w:lang w:val="ro-RO"/>
              </w:rPr>
            </w:pPr>
          </w:p>
        </w:tc>
        <w:tc>
          <w:tcPr>
            <w:tcW w:w="4678" w:type="dxa"/>
          </w:tcPr>
          <w:p w:rsidR="00E5539B" w:rsidRPr="0087426E" w:rsidRDefault="00E5539B" w:rsidP="00E5539B">
            <w:pPr>
              <w:jc w:val="both"/>
              <w:rPr>
                <w:sz w:val="24"/>
                <w:szCs w:val="24"/>
                <w:lang w:val="ro-RO" w:eastAsia="ro-RO"/>
              </w:rPr>
            </w:pPr>
            <w:r w:rsidRPr="0087426E">
              <w:rPr>
                <w:sz w:val="24"/>
                <w:szCs w:val="24"/>
                <w:lang w:val="ro-RO" w:eastAsia="ro-RO"/>
              </w:rPr>
              <w:t xml:space="preserve">3.5. Prezentarea de către Biroul Naţional de Statistică către Inspectoratul de Stat al Muncii a informaţiei privind salarizarea pe unităţile în care salariul mediu al angajaţilor este mai mic </w:t>
            </w:r>
            <w:proofErr w:type="spellStart"/>
            <w:r w:rsidRPr="0087426E">
              <w:rPr>
                <w:sz w:val="24"/>
                <w:szCs w:val="24"/>
                <w:lang w:val="ro-RO" w:eastAsia="ro-RO"/>
              </w:rPr>
              <w:t>decît</w:t>
            </w:r>
            <w:proofErr w:type="spellEnd"/>
            <w:r w:rsidRPr="0087426E">
              <w:rPr>
                <w:sz w:val="24"/>
                <w:szCs w:val="24"/>
                <w:lang w:val="ro-RO" w:eastAsia="ro-RO"/>
              </w:rPr>
              <w:t xml:space="preserve"> cuantumul salariului minim garantat în sectorul real, pentru controlul situaţiei</w:t>
            </w:r>
          </w:p>
        </w:tc>
        <w:tc>
          <w:tcPr>
            <w:tcW w:w="1417" w:type="dxa"/>
          </w:tcPr>
          <w:p w:rsidR="00E5539B" w:rsidRPr="0087426E" w:rsidRDefault="00E5539B" w:rsidP="00E40040">
            <w:pPr>
              <w:jc w:val="center"/>
              <w:rPr>
                <w:sz w:val="24"/>
                <w:szCs w:val="24"/>
                <w:lang w:val="ro-RO"/>
              </w:rPr>
            </w:pPr>
            <w:r w:rsidRPr="0087426E">
              <w:rPr>
                <w:sz w:val="24"/>
                <w:szCs w:val="24"/>
                <w:lang w:val="ro-RO"/>
              </w:rPr>
              <w:t>Trimestrial</w:t>
            </w:r>
          </w:p>
        </w:tc>
        <w:tc>
          <w:tcPr>
            <w:tcW w:w="1701" w:type="dxa"/>
          </w:tcPr>
          <w:p w:rsidR="00E5539B" w:rsidRPr="0087426E" w:rsidRDefault="00E5539B" w:rsidP="00E40040">
            <w:pPr>
              <w:jc w:val="center"/>
              <w:rPr>
                <w:sz w:val="24"/>
                <w:szCs w:val="24"/>
                <w:lang w:val="ro-RO"/>
              </w:rPr>
            </w:pPr>
            <w:r w:rsidRPr="0087426E">
              <w:rPr>
                <w:sz w:val="24"/>
                <w:szCs w:val="24"/>
                <w:lang w:val="ro-RO"/>
              </w:rPr>
              <w:t>Biroul Național de Statistică</w:t>
            </w:r>
          </w:p>
        </w:tc>
        <w:tc>
          <w:tcPr>
            <w:tcW w:w="4755" w:type="dxa"/>
          </w:tcPr>
          <w:p w:rsidR="00E5539B" w:rsidRPr="0087426E" w:rsidRDefault="00EF15B2" w:rsidP="00BC3947">
            <w:pPr>
              <w:ind w:firstLine="317"/>
              <w:jc w:val="both"/>
              <w:rPr>
                <w:sz w:val="24"/>
                <w:szCs w:val="24"/>
                <w:lang w:val="ro-RO"/>
              </w:rPr>
            </w:pPr>
            <w:r>
              <w:rPr>
                <w:sz w:val="24"/>
                <w:szCs w:val="24"/>
                <w:lang w:val="ro-RO"/>
              </w:rPr>
              <w:t xml:space="preserve">   </w:t>
            </w:r>
            <w:r w:rsidR="00496256">
              <w:rPr>
                <w:sz w:val="24"/>
                <w:szCs w:val="24"/>
                <w:lang w:val="ro-RO"/>
              </w:rPr>
              <w:t>În conformitate cu modalitatea de prezentare/transmitere a datelor (stabilită de comun acord cu Inspectoratul de Stat al Muncii în anul 2012), BNS a prezentat periodic pe parcursul anului 2015 informa</w:t>
            </w:r>
            <w:r w:rsidR="0039739C">
              <w:rPr>
                <w:sz w:val="24"/>
                <w:szCs w:val="24"/>
                <w:lang w:val="ro-RO"/>
              </w:rPr>
              <w:t>ția solicitată Inspectoratului d</w:t>
            </w:r>
            <w:r w:rsidR="00496256">
              <w:rPr>
                <w:sz w:val="24"/>
                <w:szCs w:val="24"/>
                <w:lang w:val="ro-RO"/>
              </w:rPr>
              <w:t>e Stat al Muncii.</w:t>
            </w:r>
          </w:p>
        </w:tc>
      </w:tr>
      <w:tr w:rsidR="00E5539B" w:rsidRPr="0087426E" w:rsidTr="00507289">
        <w:tc>
          <w:tcPr>
            <w:tcW w:w="806" w:type="dxa"/>
          </w:tcPr>
          <w:p w:rsidR="00E5539B" w:rsidRPr="0087426E" w:rsidRDefault="00E5539B" w:rsidP="00E40040">
            <w:pPr>
              <w:jc w:val="center"/>
              <w:rPr>
                <w:lang w:val="ro-RO"/>
              </w:rPr>
            </w:pPr>
          </w:p>
        </w:tc>
        <w:tc>
          <w:tcPr>
            <w:tcW w:w="2421" w:type="dxa"/>
          </w:tcPr>
          <w:p w:rsidR="00E5539B" w:rsidRPr="0087426E" w:rsidRDefault="00E5539B" w:rsidP="00017F5C">
            <w:pPr>
              <w:rPr>
                <w:lang w:val="ro-RO"/>
              </w:rPr>
            </w:pPr>
          </w:p>
        </w:tc>
        <w:tc>
          <w:tcPr>
            <w:tcW w:w="4678" w:type="dxa"/>
          </w:tcPr>
          <w:p w:rsidR="00E5539B" w:rsidRPr="0087426E" w:rsidRDefault="00E5539B" w:rsidP="00E5539B">
            <w:pPr>
              <w:jc w:val="both"/>
              <w:rPr>
                <w:sz w:val="24"/>
                <w:szCs w:val="24"/>
                <w:lang w:val="ro-RO" w:eastAsia="ro-RO"/>
              </w:rPr>
            </w:pPr>
            <w:r w:rsidRPr="0087426E">
              <w:rPr>
                <w:sz w:val="24"/>
                <w:szCs w:val="24"/>
                <w:lang w:val="ro-RO" w:eastAsia="ro-RO"/>
              </w:rPr>
              <w:t xml:space="preserve">3.6. Extinderea achitării salariilor prin intermediul </w:t>
            </w:r>
            <w:proofErr w:type="spellStart"/>
            <w:r w:rsidRPr="0087426E">
              <w:rPr>
                <w:sz w:val="24"/>
                <w:szCs w:val="24"/>
                <w:lang w:val="ro-RO" w:eastAsia="ro-RO"/>
              </w:rPr>
              <w:t>cardurilor</w:t>
            </w:r>
            <w:proofErr w:type="spellEnd"/>
            <w:r w:rsidRPr="0087426E">
              <w:rPr>
                <w:sz w:val="24"/>
                <w:szCs w:val="24"/>
                <w:lang w:val="ro-RO" w:eastAsia="ro-RO"/>
              </w:rPr>
              <w:t xml:space="preserve"> bancare</w:t>
            </w:r>
          </w:p>
          <w:p w:rsidR="00E5539B" w:rsidRPr="0087426E" w:rsidRDefault="00E5539B" w:rsidP="00E5539B">
            <w:pPr>
              <w:jc w:val="both"/>
              <w:rPr>
                <w:sz w:val="24"/>
                <w:szCs w:val="24"/>
                <w:lang w:val="ro-RO" w:eastAsia="ro-RO"/>
              </w:rPr>
            </w:pPr>
            <w:r w:rsidRPr="0087426E">
              <w:rPr>
                <w:rFonts w:ascii="Tahoma" w:hAnsi="Tahoma" w:cs="Tahoma"/>
                <w:sz w:val="18"/>
                <w:szCs w:val="18"/>
                <w:lang w:val="ro-RO" w:eastAsia="ro-RO"/>
              </w:rPr>
              <w:br/>
            </w:r>
          </w:p>
        </w:tc>
        <w:tc>
          <w:tcPr>
            <w:tcW w:w="1417" w:type="dxa"/>
          </w:tcPr>
          <w:p w:rsidR="00E5539B" w:rsidRPr="0087426E" w:rsidRDefault="00E5539B" w:rsidP="00E40040">
            <w:pPr>
              <w:jc w:val="center"/>
              <w:rPr>
                <w:sz w:val="24"/>
                <w:szCs w:val="24"/>
                <w:lang w:val="ro-RO"/>
              </w:rPr>
            </w:pPr>
            <w:r w:rsidRPr="0087426E">
              <w:rPr>
                <w:sz w:val="24"/>
                <w:szCs w:val="24"/>
                <w:lang w:val="ro-RO"/>
              </w:rPr>
              <w:t>Permanent</w:t>
            </w:r>
          </w:p>
        </w:tc>
        <w:tc>
          <w:tcPr>
            <w:tcW w:w="1701" w:type="dxa"/>
          </w:tcPr>
          <w:p w:rsidR="00E5539B" w:rsidRPr="0087426E" w:rsidRDefault="00E5539B" w:rsidP="00E5539B">
            <w:pPr>
              <w:jc w:val="center"/>
              <w:rPr>
                <w:sz w:val="24"/>
                <w:szCs w:val="24"/>
                <w:lang w:val="ro-RO"/>
              </w:rPr>
            </w:pPr>
            <w:r w:rsidRPr="0087426E">
              <w:rPr>
                <w:sz w:val="24"/>
                <w:szCs w:val="24"/>
                <w:lang w:val="ro-RO" w:eastAsia="ro-RO"/>
              </w:rPr>
              <w:t>Ministerele, alte autorităţi publice, Banca Naţională a Moldovei</w:t>
            </w:r>
          </w:p>
        </w:tc>
        <w:tc>
          <w:tcPr>
            <w:tcW w:w="4755" w:type="dxa"/>
          </w:tcPr>
          <w:p w:rsidR="00D67527" w:rsidRDefault="00EC090C" w:rsidP="00BC3947">
            <w:pPr>
              <w:ind w:firstLine="317"/>
              <w:jc w:val="both"/>
              <w:rPr>
                <w:sz w:val="24"/>
                <w:szCs w:val="24"/>
                <w:lang w:val="ro-RO"/>
              </w:rPr>
            </w:pPr>
            <w:r w:rsidRPr="00EC090C">
              <w:rPr>
                <w:sz w:val="24"/>
                <w:szCs w:val="24"/>
                <w:lang w:val="en-US"/>
              </w:rPr>
              <w:t xml:space="preserve">Este </w:t>
            </w:r>
            <w:proofErr w:type="spellStart"/>
            <w:r w:rsidR="007636EC">
              <w:rPr>
                <w:sz w:val="24"/>
                <w:szCs w:val="24"/>
                <w:lang w:val="en-US"/>
              </w:rPr>
              <w:t>elaborat</w:t>
            </w:r>
            <w:proofErr w:type="spellEnd"/>
            <w:r w:rsidR="005F7515" w:rsidRPr="00EC090C">
              <w:rPr>
                <w:sz w:val="24"/>
                <w:szCs w:val="24"/>
                <w:lang w:val="en-US"/>
              </w:rPr>
              <w:t xml:space="preserve"> </w:t>
            </w:r>
            <w:r w:rsidR="005F7515" w:rsidRPr="00EC090C">
              <w:rPr>
                <w:sz w:val="24"/>
                <w:szCs w:val="24"/>
                <w:lang w:val="ro-RO"/>
              </w:rPr>
              <w:t xml:space="preserve">proiectul de lege </w:t>
            </w:r>
            <w:r w:rsidRPr="00EC090C">
              <w:rPr>
                <w:sz w:val="24"/>
                <w:szCs w:val="24"/>
                <w:lang w:val="ro-RO"/>
              </w:rPr>
              <w:t xml:space="preserve">pentru </w:t>
            </w:r>
            <w:r w:rsidR="005F7515" w:rsidRPr="00EC090C">
              <w:rPr>
                <w:sz w:val="24"/>
                <w:szCs w:val="24"/>
                <w:lang w:val="ro-RO"/>
              </w:rPr>
              <w:t>modificare</w:t>
            </w:r>
            <w:r w:rsidRPr="00EC090C">
              <w:rPr>
                <w:sz w:val="24"/>
                <w:szCs w:val="24"/>
                <w:lang w:val="ro-RO"/>
              </w:rPr>
              <w:t>a și completarea unor acte legislative, inclusiv</w:t>
            </w:r>
            <w:r>
              <w:rPr>
                <w:sz w:val="24"/>
                <w:szCs w:val="24"/>
                <w:lang w:val="ro-RO"/>
              </w:rPr>
              <w:t xml:space="preserve"> a Legii nr. </w:t>
            </w:r>
            <w:r w:rsidR="005F7515" w:rsidRPr="00EC090C">
              <w:rPr>
                <w:sz w:val="24"/>
                <w:szCs w:val="24"/>
                <w:lang w:val="ro-RO"/>
              </w:rPr>
              <w:t>847</w:t>
            </w:r>
            <w:r>
              <w:rPr>
                <w:sz w:val="24"/>
                <w:szCs w:val="24"/>
                <w:lang w:val="ro-RO"/>
              </w:rPr>
              <w:t>-XV din 14.02.2002,</w:t>
            </w:r>
            <w:r w:rsidR="005F7515" w:rsidRPr="00EC090C">
              <w:rPr>
                <w:sz w:val="24"/>
                <w:szCs w:val="24"/>
                <w:lang w:val="ro-RO"/>
              </w:rPr>
              <w:t xml:space="preserve"> care prevede</w:t>
            </w:r>
            <w:r>
              <w:rPr>
                <w:sz w:val="24"/>
                <w:szCs w:val="24"/>
                <w:lang w:val="ro-RO"/>
              </w:rPr>
              <w:t xml:space="preserve"> că în localitățile urbane plata salariului să fie efectuată prin virament la contul salariatului deschis la prestatorul de servicii de plată. Va fi acceptată plata salariului și în numerar, dar la un termen de </w:t>
            </w:r>
            <w:proofErr w:type="spellStart"/>
            <w:r>
              <w:rPr>
                <w:sz w:val="24"/>
                <w:szCs w:val="24"/>
                <w:lang w:val="ro-RO"/>
              </w:rPr>
              <w:t>pănă</w:t>
            </w:r>
            <w:proofErr w:type="spellEnd"/>
            <w:r>
              <w:rPr>
                <w:sz w:val="24"/>
                <w:szCs w:val="24"/>
                <w:lang w:val="ro-RO"/>
              </w:rPr>
              <w:t xml:space="preserve"> la 3 luni în cazul în care prestatorul de servicii</w:t>
            </w:r>
            <w:r w:rsidR="00D67527">
              <w:rPr>
                <w:sz w:val="24"/>
                <w:szCs w:val="24"/>
                <w:lang w:val="ro-RO"/>
              </w:rPr>
              <w:t xml:space="preserve"> de plată care deservește salariatul este în proces de lichidare sau reorganizare.</w:t>
            </w:r>
          </w:p>
          <w:p w:rsidR="005F7515" w:rsidRDefault="00D67527" w:rsidP="00BC3947">
            <w:pPr>
              <w:ind w:firstLine="317"/>
              <w:jc w:val="both"/>
              <w:rPr>
                <w:sz w:val="24"/>
                <w:szCs w:val="24"/>
                <w:lang w:val="ro-RO"/>
              </w:rPr>
            </w:pPr>
            <w:r>
              <w:rPr>
                <w:sz w:val="24"/>
                <w:szCs w:val="24"/>
                <w:lang w:val="ro-RO"/>
              </w:rPr>
              <w:t xml:space="preserve">   În localitățile rurale plata salariului este preconizată sa fie posibilă </w:t>
            </w:r>
            <w:proofErr w:type="spellStart"/>
            <w:r>
              <w:rPr>
                <w:sz w:val="24"/>
                <w:szCs w:val="24"/>
                <w:lang w:val="ro-RO"/>
              </w:rPr>
              <w:t>atît</w:t>
            </w:r>
            <w:proofErr w:type="spellEnd"/>
            <w:r>
              <w:rPr>
                <w:sz w:val="24"/>
                <w:szCs w:val="24"/>
                <w:lang w:val="ro-RO"/>
              </w:rPr>
              <w:t xml:space="preserve"> prin virament </w:t>
            </w:r>
            <w:proofErr w:type="spellStart"/>
            <w:r>
              <w:rPr>
                <w:sz w:val="24"/>
                <w:szCs w:val="24"/>
                <w:lang w:val="ro-RO"/>
              </w:rPr>
              <w:t>cît</w:t>
            </w:r>
            <w:proofErr w:type="spellEnd"/>
            <w:r>
              <w:rPr>
                <w:sz w:val="24"/>
                <w:szCs w:val="24"/>
                <w:lang w:val="ro-RO"/>
              </w:rPr>
              <w:t xml:space="preserve"> și în numerar, la locul de muncă al salariatului, opțiunea fiind aleasă cu acordul scris al salariatului.</w:t>
            </w:r>
          </w:p>
          <w:p w:rsidR="00D67527" w:rsidRDefault="00D67527" w:rsidP="00BC3947">
            <w:pPr>
              <w:ind w:firstLine="317"/>
              <w:jc w:val="both"/>
              <w:rPr>
                <w:sz w:val="24"/>
                <w:szCs w:val="24"/>
                <w:lang w:val="ro-RO"/>
              </w:rPr>
            </w:pPr>
            <w:r>
              <w:rPr>
                <w:sz w:val="24"/>
                <w:szCs w:val="24"/>
                <w:lang w:val="ro-RO"/>
              </w:rPr>
              <w:t xml:space="preserve">   Serviciile respective urmează să fie achitate din contul angajatorului.</w:t>
            </w:r>
          </w:p>
          <w:p w:rsidR="00C92E22" w:rsidRPr="00C92E22" w:rsidRDefault="00D67527" w:rsidP="0039739C">
            <w:pPr>
              <w:ind w:firstLine="317"/>
              <w:jc w:val="both"/>
              <w:rPr>
                <w:sz w:val="24"/>
                <w:szCs w:val="24"/>
                <w:lang w:val="ro-MO"/>
              </w:rPr>
            </w:pPr>
            <w:r>
              <w:rPr>
                <w:sz w:val="24"/>
                <w:szCs w:val="24"/>
                <w:lang w:val="ro-RO"/>
              </w:rPr>
              <w:t xml:space="preserve">   </w:t>
            </w:r>
            <w:r w:rsidRPr="00D67527">
              <w:rPr>
                <w:sz w:val="24"/>
                <w:szCs w:val="24"/>
                <w:lang w:val="ro-MO"/>
              </w:rPr>
              <w:t xml:space="preserve">Totodată, proiectul dat  prevede că salariatul este în drept să solicite angajatorului un alt prestator de servicii de plată </w:t>
            </w:r>
            <w:proofErr w:type="spellStart"/>
            <w:r w:rsidRPr="00D67527">
              <w:rPr>
                <w:sz w:val="24"/>
                <w:szCs w:val="24"/>
                <w:lang w:val="ro-MO"/>
              </w:rPr>
              <w:t>decît</w:t>
            </w:r>
            <w:proofErr w:type="spellEnd"/>
            <w:r w:rsidRPr="00D67527">
              <w:rPr>
                <w:sz w:val="24"/>
                <w:szCs w:val="24"/>
                <w:lang w:val="ro-MO"/>
              </w:rPr>
              <w:t xml:space="preserve"> cel </w:t>
            </w:r>
            <w:r w:rsidRPr="00D67527">
              <w:rPr>
                <w:sz w:val="24"/>
                <w:szCs w:val="24"/>
                <w:lang w:val="ro-MO"/>
              </w:rPr>
              <w:lastRenderedPageBreak/>
              <w:t>ales de angajator pentru plățile salariale.</w:t>
            </w:r>
          </w:p>
        </w:tc>
      </w:tr>
      <w:tr w:rsidR="00E20A38" w:rsidRPr="0087426E" w:rsidTr="00507289">
        <w:tc>
          <w:tcPr>
            <w:tcW w:w="806" w:type="dxa"/>
          </w:tcPr>
          <w:p w:rsidR="00E20A38" w:rsidRPr="0087426E" w:rsidRDefault="00E20A38" w:rsidP="00E40040">
            <w:pPr>
              <w:jc w:val="center"/>
              <w:rPr>
                <w:lang w:val="ro-RO"/>
              </w:rPr>
            </w:pPr>
          </w:p>
        </w:tc>
        <w:tc>
          <w:tcPr>
            <w:tcW w:w="2421" w:type="dxa"/>
          </w:tcPr>
          <w:p w:rsidR="00E20A38" w:rsidRPr="0087426E" w:rsidRDefault="00E20A38" w:rsidP="00017F5C">
            <w:pPr>
              <w:rPr>
                <w:lang w:val="ro-RO"/>
              </w:rPr>
            </w:pPr>
          </w:p>
        </w:tc>
        <w:tc>
          <w:tcPr>
            <w:tcW w:w="4678" w:type="dxa"/>
          </w:tcPr>
          <w:p w:rsidR="00E20A38" w:rsidRPr="0087426E" w:rsidRDefault="00E20A38" w:rsidP="00E5539B">
            <w:pPr>
              <w:jc w:val="both"/>
              <w:rPr>
                <w:sz w:val="24"/>
                <w:szCs w:val="24"/>
                <w:lang w:val="ro-RO" w:eastAsia="ro-RO"/>
              </w:rPr>
            </w:pPr>
            <w:r w:rsidRPr="0087426E">
              <w:rPr>
                <w:sz w:val="24"/>
                <w:szCs w:val="24"/>
                <w:lang w:val="ro-RO" w:eastAsia="ro-RO"/>
              </w:rPr>
              <w:t>3.7. Revizuirea modului de stabilire şi reexaminare a cuantumului minim garantat a salariului în sectorul real</w:t>
            </w:r>
          </w:p>
        </w:tc>
        <w:tc>
          <w:tcPr>
            <w:tcW w:w="1417" w:type="dxa"/>
          </w:tcPr>
          <w:p w:rsidR="00E20A38" w:rsidRPr="0087426E" w:rsidRDefault="00E20A38" w:rsidP="00E40040">
            <w:pPr>
              <w:jc w:val="center"/>
              <w:rPr>
                <w:sz w:val="24"/>
                <w:szCs w:val="24"/>
                <w:lang w:val="ro-RO"/>
              </w:rPr>
            </w:pPr>
            <w:r w:rsidRPr="0087426E">
              <w:rPr>
                <w:sz w:val="24"/>
                <w:szCs w:val="24"/>
                <w:lang w:val="ro-RO"/>
              </w:rPr>
              <w:t>2015</w:t>
            </w:r>
          </w:p>
        </w:tc>
        <w:tc>
          <w:tcPr>
            <w:tcW w:w="1701" w:type="dxa"/>
          </w:tcPr>
          <w:p w:rsidR="00E20A38" w:rsidRPr="0087426E" w:rsidRDefault="00E20A38" w:rsidP="00E5539B">
            <w:pPr>
              <w:jc w:val="center"/>
              <w:rPr>
                <w:sz w:val="24"/>
                <w:szCs w:val="24"/>
                <w:lang w:val="ro-RO" w:eastAsia="ro-RO"/>
              </w:rPr>
            </w:pPr>
            <w:r w:rsidRPr="0087426E">
              <w:rPr>
                <w:sz w:val="24"/>
                <w:szCs w:val="24"/>
                <w:lang w:val="ro-RO" w:eastAsia="ro-RO"/>
              </w:rPr>
              <w:t>Ministerul Muncii, Protecţiei Sociale şi Familiei, Confederaţia Naţională a Patronatelor, Confederaţia Naţională a Sindicatelor</w:t>
            </w:r>
          </w:p>
        </w:tc>
        <w:tc>
          <w:tcPr>
            <w:tcW w:w="4755" w:type="dxa"/>
            <w:vMerge w:val="restart"/>
          </w:tcPr>
          <w:p w:rsidR="00E20A38" w:rsidRPr="0087426E" w:rsidRDefault="00E20A38" w:rsidP="00BC3947">
            <w:pPr>
              <w:ind w:firstLine="317"/>
              <w:jc w:val="both"/>
              <w:rPr>
                <w:sz w:val="24"/>
                <w:szCs w:val="24"/>
                <w:lang w:val="ro-RO" w:eastAsia="ro-RO"/>
              </w:rPr>
            </w:pPr>
            <w:r>
              <w:rPr>
                <w:sz w:val="24"/>
                <w:szCs w:val="24"/>
                <w:lang w:val="ro-RO"/>
              </w:rPr>
              <w:t xml:space="preserve">      </w:t>
            </w:r>
            <w:r w:rsidRPr="0087426E">
              <w:rPr>
                <w:sz w:val="24"/>
                <w:szCs w:val="24"/>
                <w:lang w:val="ro-RO"/>
              </w:rPr>
              <w:t>În anul 2015 a fost elaborat și coordonat cu autoritățile publice interesate și partenerii sociali proiectul de lege de modificare și completare a Legii salarizării nr.847-XV din 14 februarie 2002, adoptarea căreia ar permite</w:t>
            </w:r>
            <w:r w:rsidRPr="0087426E">
              <w:rPr>
                <w:sz w:val="24"/>
                <w:szCs w:val="24"/>
                <w:lang w:val="ro-RO" w:eastAsia="ro-RO"/>
              </w:rPr>
              <w:t xml:space="preserve"> diferenţierea cuantumului minim garantat al salariului în sectorul real în funcţie de complexitatea muncii, nivelul de pregătire şi calificare a salariaţilor. </w:t>
            </w:r>
          </w:p>
          <w:p w:rsidR="00E20A38" w:rsidRPr="004D2E47" w:rsidRDefault="00E20A38" w:rsidP="00BC3947">
            <w:pPr>
              <w:ind w:firstLine="317"/>
              <w:jc w:val="both"/>
              <w:rPr>
                <w:color w:val="FF0000"/>
                <w:sz w:val="24"/>
                <w:szCs w:val="24"/>
                <w:lang w:val="ro-RO"/>
              </w:rPr>
            </w:pPr>
            <w:r w:rsidRPr="0087426E">
              <w:rPr>
                <w:sz w:val="24"/>
                <w:szCs w:val="24"/>
                <w:lang w:val="ro-RO"/>
              </w:rPr>
              <w:t xml:space="preserve"> </w:t>
            </w:r>
            <w:r>
              <w:rPr>
                <w:sz w:val="24"/>
                <w:szCs w:val="24"/>
                <w:lang w:val="ro-RO"/>
              </w:rPr>
              <w:t xml:space="preserve">   </w:t>
            </w:r>
            <w:r w:rsidRPr="0087426E">
              <w:rPr>
                <w:sz w:val="24"/>
                <w:szCs w:val="24"/>
                <w:lang w:val="ro-RO"/>
              </w:rPr>
              <w:t>Din  motivul instabilității politice, proiectul n-a putut fi promovat la Guvern în anul 2015.</w:t>
            </w:r>
          </w:p>
        </w:tc>
      </w:tr>
      <w:tr w:rsidR="00E20A38" w:rsidRPr="0087426E" w:rsidTr="00507289">
        <w:tc>
          <w:tcPr>
            <w:tcW w:w="806" w:type="dxa"/>
          </w:tcPr>
          <w:p w:rsidR="00E20A38" w:rsidRPr="0087426E" w:rsidRDefault="00E20A38" w:rsidP="00E40040">
            <w:pPr>
              <w:jc w:val="center"/>
              <w:rPr>
                <w:lang w:val="ro-RO"/>
              </w:rPr>
            </w:pPr>
          </w:p>
        </w:tc>
        <w:tc>
          <w:tcPr>
            <w:tcW w:w="2421" w:type="dxa"/>
          </w:tcPr>
          <w:p w:rsidR="00E20A38" w:rsidRPr="0087426E" w:rsidRDefault="00E20A38" w:rsidP="00017F5C">
            <w:pPr>
              <w:rPr>
                <w:lang w:val="ro-RO"/>
              </w:rPr>
            </w:pPr>
          </w:p>
        </w:tc>
        <w:tc>
          <w:tcPr>
            <w:tcW w:w="4678" w:type="dxa"/>
          </w:tcPr>
          <w:p w:rsidR="00E20A38" w:rsidRPr="0087426E" w:rsidRDefault="00E20A38" w:rsidP="00E5539B">
            <w:pPr>
              <w:rPr>
                <w:sz w:val="24"/>
                <w:szCs w:val="24"/>
                <w:lang w:val="ro-RO" w:eastAsia="ro-RO"/>
              </w:rPr>
            </w:pPr>
            <w:r w:rsidRPr="0087426E">
              <w:rPr>
                <w:sz w:val="24"/>
                <w:szCs w:val="24"/>
                <w:lang w:val="ro-RO" w:eastAsia="ro-RO"/>
              </w:rPr>
              <w:t>3.8. Diferenţierea cuantumului minim garantat al salariului în sectorul real pe patru nivele, în funcţie de complexitatea muncii, nivelul de pregătire şi calificare a salariaţilor</w:t>
            </w:r>
          </w:p>
        </w:tc>
        <w:tc>
          <w:tcPr>
            <w:tcW w:w="1417" w:type="dxa"/>
          </w:tcPr>
          <w:p w:rsidR="00E20A38" w:rsidRPr="0087426E" w:rsidRDefault="00E20A38" w:rsidP="00E40040">
            <w:pPr>
              <w:jc w:val="center"/>
              <w:rPr>
                <w:sz w:val="24"/>
                <w:szCs w:val="24"/>
                <w:lang w:val="ro-RO"/>
              </w:rPr>
            </w:pPr>
            <w:r w:rsidRPr="0087426E">
              <w:rPr>
                <w:sz w:val="24"/>
                <w:szCs w:val="24"/>
                <w:lang w:val="ro-RO"/>
              </w:rPr>
              <w:t>2015</w:t>
            </w:r>
          </w:p>
        </w:tc>
        <w:tc>
          <w:tcPr>
            <w:tcW w:w="1701" w:type="dxa"/>
          </w:tcPr>
          <w:p w:rsidR="00E20A38" w:rsidRPr="0087426E" w:rsidRDefault="00E20A38" w:rsidP="0039739C">
            <w:pPr>
              <w:jc w:val="center"/>
              <w:rPr>
                <w:sz w:val="24"/>
                <w:szCs w:val="24"/>
                <w:lang w:val="ro-RO"/>
              </w:rPr>
            </w:pPr>
            <w:r w:rsidRPr="0087426E">
              <w:rPr>
                <w:sz w:val="24"/>
                <w:szCs w:val="24"/>
                <w:lang w:val="ro-RO" w:eastAsia="ro-RO"/>
              </w:rPr>
              <w:t>M</w:t>
            </w:r>
            <w:r w:rsidR="0039739C">
              <w:rPr>
                <w:sz w:val="24"/>
                <w:szCs w:val="24"/>
                <w:lang w:val="ro-RO" w:eastAsia="ro-RO"/>
              </w:rPr>
              <w:t>MPSF</w:t>
            </w:r>
          </w:p>
        </w:tc>
        <w:tc>
          <w:tcPr>
            <w:tcW w:w="4755" w:type="dxa"/>
            <w:vMerge/>
          </w:tcPr>
          <w:p w:rsidR="00E20A38" w:rsidRPr="0087426E" w:rsidRDefault="00E20A38" w:rsidP="00BC3947">
            <w:pPr>
              <w:ind w:firstLine="317"/>
              <w:jc w:val="both"/>
              <w:rPr>
                <w:sz w:val="24"/>
                <w:szCs w:val="24"/>
                <w:lang w:val="ro-RO"/>
              </w:rPr>
            </w:pPr>
          </w:p>
        </w:tc>
      </w:tr>
      <w:tr w:rsidR="00E5539B" w:rsidRPr="0087426E" w:rsidTr="00507289">
        <w:tc>
          <w:tcPr>
            <w:tcW w:w="806" w:type="dxa"/>
          </w:tcPr>
          <w:p w:rsidR="00E5539B" w:rsidRPr="0087426E" w:rsidRDefault="00E5539B" w:rsidP="00E40040">
            <w:pPr>
              <w:jc w:val="center"/>
              <w:rPr>
                <w:lang w:val="ro-RO"/>
              </w:rPr>
            </w:pPr>
          </w:p>
        </w:tc>
        <w:tc>
          <w:tcPr>
            <w:tcW w:w="2421" w:type="dxa"/>
          </w:tcPr>
          <w:p w:rsidR="00E5539B" w:rsidRPr="0087426E" w:rsidRDefault="00E5539B" w:rsidP="00017F5C">
            <w:pPr>
              <w:rPr>
                <w:lang w:val="ro-RO"/>
              </w:rPr>
            </w:pPr>
          </w:p>
        </w:tc>
        <w:tc>
          <w:tcPr>
            <w:tcW w:w="4678" w:type="dxa"/>
          </w:tcPr>
          <w:p w:rsidR="00E5539B" w:rsidRPr="0087426E" w:rsidRDefault="00E5539B" w:rsidP="00334CAE">
            <w:pPr>
              <w:rPr>
                <w:sz w:val="24"/>
                <w:szCs w:val="24"/>
                <w:lang w:val="ro-RO" w:eastAsia="ro-RO"/>
              </w:rPr>
            </w:pPr>
            <w:r w:rsidRPr="0087426E">
              <w:rPr>
                <w:sz w:val="24"/>
                <w:szCs w:val="24"/>
                <w:lang w:val="ro-RO" w:eastAsia="ro-RO"/>
              </w:rPr>
              <w:t>3.9. Promovarea plăţilor electronice şi descurajarea tranzacţiilor în cash, inclusiv prin modificarea actelor legislative în scopul promovării plăţilor fără numerar şi combaterii evaziunii fiscale</w:t>
            </w:r>
          </w:p>
        </w:tc>
        <w:tc>
          <w:tcPr>
            <w:tcW w:w="1417" w:type="dxa"/>
          </w:tcPr>
          <w:p w:rsidR="00E5539B" w:rsidRPr="0087426E" w:rsidRDefault="00334CAE" w:rsidP="00E40040">
            <w:pPr>
              <w:jc w:val="center"/>
              <w:rPr>
                <w:sz w:val="24"/>
                <w:szCs w:val="24"/>
                <w:lang w:val="ro-RO"/>
              </w:rPr>
            </w:pPr>
            <w:r w:rsidRPr="0087426E">
              <w:rPr>
                <w:sz w:val="24"/>
                <w:szCs w:val="24"/>
                <w:lang w:val="ro-RO"/>
              </w:rPr>
              <w:t>2015-2016</w:t>
            </w:r>
          </w:p>
        </w:tc>
        <w:tc>
          <w:tcPr>
            <w:tcW w:w="1701" w:type="dxa"/>
          </w:tcPr>
          <w:p w:rsidR="00E5539B" w:rsidRPr="0087426E" w:rsidRDefault="00334CAE" w:rsidP="00334CAE">
            <w:pPr>
              <w:jc w:val="center"/>
              <w:rPr>
                <w:sz w:val="24"/>
                <w:szCs w:val="24"/>
                <w:lang w:val="ro-RO" w:eastAsia="ro-RO"/>
              </w:rPr>
            </w:pPr>
            <w:r w:rsidRPr="0087426E">
              <w:rPr>
                <w:sz w:val="24"/>
                <w:szCs w:val="24"/>
                <w:lang w:val="ro-RO" w:eastAsia="ro-RO"/>
              </w:rPr>
              <w:t>Banca Naţională a Moldovei, Ministerul Finanţelor, Ministerul Muncii, Protecţiei Sociale şi Familiei</w:t>
            </w:r>
          </w:p>
        </w:tc>
        <w:tc>
          <w:tcPr>
            <w:tcW w:w="4755" w:type="dxa"/>
          </w:tcPr>
          <w:p w:rsidR="00E5539B" w:rsidRPr="0087426E" w:rsidRDefault="00D0046E" w:rsidP="00D0046E">
            <w:pPr>
              <w:ind w:firstLine="317"/>
              <w:rPr>
                <w:sz w:val="24"/>
                <w:szCs w:val="24"/>
                <w:lang w:val="ro-RO"/>
              </w:rPr>
            </w:pPr>
            <w:r>
              <w:rPr>
                <w:sz w:val="24"/>
                <w:szCs w:val="24"/>
                <w:lang w:val="ro-RO"/>
              </w:rPr>
              <w:t>În curs de realizare</w:t>
            </w:r>
          </w:p>
        </w:tc>
      </w:tr>
      <w:tr w:rsidR="00E5539B" w:rsidRPr="0087426E" w:rsidTr="00507289">
        <w:tc>
          <w:tcPr>
            <w:tcW w:w="806" w:type="dxa"/>
          </w:tcPr>
          <w:p w:rsidR="00E5539B" w:rsidRPr="0087426E" w:rsidRDefault="00334CAE" w:rsidP="00E40040">
            <w:pPr>
              <w:jc w:val="center"/>
              <w:rPr>
                <w:vertAlign w:val="superscript"/>
                <w:lang w:val="ro-RO"/>
              </w:rPr>
            </w:pPr>
            <w:r w:rsidRPr="0087426E">
              <w:rPr>
                <w:lang w:val="ro-RO"/>
              </w:rPr>
              <w:t>3</w:t>
            </w:r>
            <w:r w:rsidRPr="0087426E">
              <w:rPr>
                <w:vertAlign w:val="superscript"/>
                <w:lang w:val="ro-RO"/>
              </w:rPr>
              <w:t>1</w:t>
            </w:r>
          </w:p>
        </w:tc>
        <w:tc>
          <w:tcPr>
            <w:tcW w:w="2421" w:type="dxa"/>
          </w:tcPr>
          <w:p w:rsidR="00E5539B" w:rsidRPr="0087426E" w:rsidRDefault="00334CAE" w:rsidP="00334CAE">
            <w:pPr>
              <w:rPr>
                <w:sz w:val="24"/>
                <w:szCs w:val="24"/>
                <w:lang w:val="ro-RO" w:eastAsia="ro-RO"/>
              </w:rPr>
            </w:pPr>
            <w:r w:rsidRPr="0087426E">
              <w:rPr>
                <w:sz w:val="24"/>
                <w:szCs w:val="24"/>
                <w:lang w:val="ro-RO" w:eastAsia="ro-RO"/>
              </w:rPr>
              <w:t>Sporirea responsabilităţii angajatorului în protecţia drepturilor salariatulu</w:t>
            </w:r>
            <w:r w:rsidR="00904FA2">
              <w:rPr>
                <w:sz w:val="24"/>
                <w:szCs w:val="24"/>
                <w:lang w:val="ro-RO" w:eastAsia="ro-RO"/>
              </w:rPr>
              <w:t>i</w:t>
            </w:r>
          </w:p>
        </w:tc>
        <w:tc>
          <w:tcPr>
            <w:tcW w:w="4678" w:type="dxa"/>
          </w:tcPr>
          <w:p w:rsidR="00E5539B" w:rsidRPr="0087426E" w:rsidRDefault="00334CAE" w:rsidP="00334CAE">
            <w:pPr>
              <w:rPr>
                <w:sz w:val="24"/>
                <w:szCs w:val="24"/>
                <w:lang w:val="ro-RO" w:eastAsia="ro-RO"/>
              </w:rPr>
            </w:pPr>
            <w:r w:rsidRPr="0087426E">
              <w:rPr>
                <w:sz w:val="24"/>
                <w:szCs w:val="24"/>
                <w:lang w:val="ro-RO" w:eastAsia="ro-RO"/>
              </w:rPr>
              <w:t>3</w:t>
            </w:r>
            <w:r w:rsidRPr="0087426E">
              <w:rPr>
                <w:sz w:val="24"/>
                <w:szCs w:val="24"/>
                <w:vertAlign w:val="superscript"/>
                <w:lang w:val="ro-RO" w:eastAsia="ro-RO"/>
              </w:rPr>
              <w:t>1</w:t>
            </w:r>
            <w:r w:rsidRPr="0087426E">
              <w:rPr>
                <w:sz w:val="24"/>
                <w:szCs w:val="24"/>
                <w:lang w:val="ro-RO" w:eastAsia="ro-RO"/>
              </w:rPr>
              <w:t>.1. Intensificarea procesului de eliberare a parolelor de acces la contul curent al persoanei asigurate</w:t>
            </w:r>
          </w:p>
        </w:tc>
        <w:tc>
          <w:tcPr>
            <w:tcW w:w="1417" w:type="dxa"/>
          </w:tcPr>
          <w:p w:rsidR="00E5539B" w:rsidRPr="0087426E" w:rsidRDefault="00334CAE" w:rsidP="00E40040">
            <w:pPr>
              <w:jc w:val="center"/>
              <w:rPr>
                <w:sz w:val="24"/>
                <w:szCs w:val="24"/>
                <w:lang w:val="ro-RO"/>
              </w:rPr>
            </w:pPr>
            <w:r w:rsidRPr="0087426E">
              <w:rPr>
                <w:sz w:val="24"/>
                <w:szCs w:val="24"/>
                <w:lang w:val="ro-RO"/>
              </w:rPr>
              <w:t>2015-2017</w:t>
            </w:r>
          </w:p>
        </w:tc>
        <w:tc>
          <w:tcPr>
            <w:tcW w:w="1701" w:type="dxa"/>
          </w:tcPr>
          <w:p w:rsidR="00334CAE" w:rsidRPr="0087426E" w:rsidRDefault="00334CAE" w:rsidP="00334CAE">
            <w:pPr>
              <w:jc w:val="center"/>
              <w:rPr>
                <w:sz w:val="24"/>
                <w:szCs w:val="24"/>
                <w:lang w:val="ro-RO" w:eastAsia="ro-RO"/>
              </w:rPr>
            </w:pPr>
            <w:r w:rsidRPr="0087426E">
              <w:rPr>
                <w:sz w:val="24"/>
                <w:szCs w:val="24"/>
                <w:lang w:val="ro-RO" w:eastAsia="ro-RO"/>
              </w:rPr>
              <w:t>Casa Naţională de Asigurări Sociale</w:t>
            </w:r>
          </w:p>
          <w:p w:rsidR="00E5539B" w:rsidRPr="0087426E" w:rsidRDefault="00E5539B" w:rsidP="00334CAE">
            <w:pPr>
              <w:jc w:val="center"/>
              <w:rPr>
                <w:sz w:val="24"/>
                <w:szCs w:val="24"/>
                <w:lang w:val="ro-RO"/>
              </w:rPr>
            </w:pPr>
          </w:p>
        </w:tc>
        <w:tc>
          <w:tcPr>
            <w:tcW w:w="4755" w:type="dxa"/>
          </w:tcPr>
          <w:p w:rsidR="00E5539B" w:rsidRPr="0087426E" w:rsidRDefault="007636EC" w:rsidP="0039739C">
            <w:pPr>
              <w:ind w:firstLine="317"/>
              <w:jc w:val="both"/>
              <w:rPr>
                <w:sz w:val="24"/>
                <w:szCs w:val="24"/>
                <w:lang w:val="ro-RO"/>
              </w:rPr>
            </w:pPr>
            <w:r>
              <w:rPr>
                <w:sz w:val="24"/>
                <w:szCs w:val="24"/>
                <w:lang w:val="ro-RO"/>
              </w:rPr>
              <w:t xml:space="preserve"> </w:t>
            </w:r>
            <w:r w:rsidR="00EC58F8" w:rsidRPr="00EC58F8">
              <w:rPr>
                <w:sz w:val="24"/>
                <w:szCs w:val="24"/>
                <w:lang w:val="ro-RO"/>
              </w:rPr>
              <w:t xml:space="preserve">Continuă colaborarea cu agenţii economici în scopul atribuirii unui număr </w:t>
            </w:r>
            <w:proofErr w:type="spellStart"/>
            <w:r w:rsidR="00EC58F8" w:rsidRPr="00EC58F8">
              <w:rPr>
                <w:sz w:val="24"/>
                <w:szCs w:val="24"/>
                <w:lang w:val="ro-RO"/>
              </w:rPr>
              <w:t>cît</w:t>
            </w:r>
            <w:proofErr w:type="spellEnd"/>
            <w:r w:rsidR="00EC58F8" w:rsidRPr="00EC58F8">
              <w:rPr>
                <w:sz w:val="24"/>
                <w:szCs w:val="24"/>
                <w:lang w:val="ro-RO"/>
              </w:rPr>
              <w:t xml:space="preserve"> mai mare de parole  de acces la contul curent al persoanelor asigurate. A fost asigurat procesul de prelucrare a listelor prezentate de către angajator în scopul atribuirii parolelor de acces la contul curent angajaţilor săi. Totodată, au fost recepţionate şi prelucrate cererile persoanelor fizice, la nivel naţional. Respectiv la data de 01.02.2016, 397 905 persoane </w:t>
            </w:r>
            <w:r w:rsidR="00EC58F8" w:rsidRPr="00EC58F8">
              <w:rPr>
                <w:sz w:val="24"/>
                <w:szCs w:val="24"/>
                <w:lang w:val="ro-RO"/>
              </w:rPr>
              <w:lastRenderedPageBreak/>
              <w:t>asigurate deţin parole de acces la contul personal, ceia ce constituie 53,35% din numărul total de persoane asigurate.</w:t>
            </w:r>
          </w:p>
        </w:tc>
      </w:tr>
      <w:tr w:rsidR="00334CAE" w:rsidRPr="0087426E" w:rsidTr="00507289">
        <w:tc>
          <w:tcPr>
            <w:tcW w:w="806" w:type="dxa"/>
          </w:tcPr>
          <w:p w:rsidR="00334CAE" w:rsidRPr="0087426E" w:rsidRDefault="00334CAE" w:rsidP="00E40040">
            <w:pPr>
              <w:jc w:val="center"/>
              <w:rPr>
                <w:lang w:val="ro-RO"/>
              </w:rPr>
            </w:pPr>
          </w:p>
        </w:tc>
        <w:tc>
          <w:tcPr>
            <w:tcW w:w="2421" w:type="dxa"/>
          </w:tcPr>
          <w:p w:rsidR="00334CAE" w:rsidRPr="0087426E" w:rsidRDefault="00334CAE" w:rsidP="00334CAE">
            <w:pPr>
              <w:rPr>
                <w:sz w:val="24"/>
                <w:szCs w:val="24"/>
                <w:lang w:val="ro-RO" w:eastAsia="ro-RO"/>
              </w:rPr>
            </w:pPr>
          </w:p>
        </w:tc>
        <w:tc>
          <w:tcPr>
            <w:tcW w:w="4678" w:type="dxa"/>
          </w:tcPr>
          <w:p w:rsidR="00334CAE" w:rsidRPr="0087426E" w:rsidRDefault="00334CAE" w:rsidP="00334CAE">
            <w:pPr>
              <w:rPr>
                <w:sz w:val="24"/>
                <w:szCs w:val="24"/>
                <w:lang w:val="ro-RO" w:eastAsia="ro-RO"/>
              </w:rPr>
            </w:pPr>
            <w:r w:rsidRPr="0087426E">
              <w:rPr>
                <w:sz w:val="24"/>
                <w:szCs w:val="24"/>
                <w:lang w:val="ro-RO" w:eastAsia="ro-RO"/>
              </w:rPr>
              <w:t>3</w:t>
            </w:r>
            <w:r w:rsidRPr="0087426E">
              <w:rPr>
                <w:sz w:val="24"/>
                <w:szCs w:val="24"/>
                <w:vertAlign w:val="superscript"/>
                <w:lang w:val="ro-RO" w:eastAsia="ro-RO"/>
              </w:rPr>
              <w:t>1</w:t>
            </w:r>
            <w:r w:rsidRPr="0087426E">
              <w:rPr>
                <w:sz w:val="24"/>
                <w:szCs w:val="24"/>
                <w:lang w:val="ro-RO" w:eastAsia="ro-RO"/>
              </w:rPr>
              <w:t>.2. Modificarea termenelor de prezentare a declaraţiilor persoanelor asigurate din anuale în lunar</w:t>
            </w:r>
          </w:p>
        </w:tc>
        <w:tc>
          <w:tcPr>
            <w:tcW w:w="1417" w:type="dxa"/>
          </w:tcPr>
          <w:p w:rsidR="00334CAE" w:rsidRPr="0087426E" w:rsidRDefault="00334CAE" w:rsidP="00E40040">
            <w:pPr>
              <w:jc w:val="center"/>
              <w:rPr>
                <w:sz w:val="24"/>
                <w:szCs w:val="24"/>
                <w:lang w:val="ro-RO"/>
              </w:rPr>
            </w:pPr>
            <w:r w:rsidRPr="0087426E">
              <w:rPr>
                <w:sz w:val="24"/>
                <w:szCs w:val="24"/>
                <w:lang w:val="ro-RO"/>
              </w:rPr>
              <w:t>2015</w:t>
            </w:r>
          </w:p>
        </w:tc>
        <w:tc>
          <w:tcPr>
            <w:tcW w:w="1701" w:type="dxa"/>
          </w:tcPr>
          <w:p w:rsidR="00334CAE" w:rsidRPr="0087426E" w:rsidRDefault="00334CAE" w:rsidP="00334CAE">
            <w:pPr>
              <w:jc w:val="center"/>
              <w:rPr>
                <w:sz w:val="24"/>
                <w:szCs w:val="24"/>
                <w:lang w:val="ro-RO" w:eastAsia="ro-RO"/>
              </w:rPr>
            </w:pPr>
            <w:r w:rsidRPr="0087426E">
              <w:rPr>
                <w:sz w:val="24"/>
                <w:szCs w:val="24"/>
                <w:lang w:val="ro-RO" w:eastAsia="ro-RO"/>
              </w:rPr>
              <w:t>Casa Naţională de Asigurări Sociale</w:t>
            </w:r>
          </w:p>
        </w:tc>
        <w:tc>
          <w:tcPr>
            <w:tcW w:w="4755" w:type="dxa"/>
          </w:tcPr>
          <w:p w:rsidR="00334CAE" w:rsidRPr="0087426E" w:rsidRDefault="00EC58F8" w:rsidP="0039739C">
            <w:pPr>
              <w:ind w:firstLine="317"/>
              <w:jc w:val="both"/>
              <w:rPr>
                <w:sz w:val="24"/>
                <w:szCs w:val="24"/>
                <w:lang w:val="ro-RO"/>
              </w:rPr>
            </w:pPr>
            <w:r w:rsidRPr="00EC58F8">
              <w:rPr>
                <w:sz w:val="24"/>
                <w:szCs w:val="24"/>
                <w:lang w:val="ro-RO"/>
              </w:rPr>
              <w:t xml:space="preserve"> Termenele au fost modificate </w:t>
            </w:r>
            <w:proofErr w:type="spellStart"/>
            <w:r w:rsidRPr="00EC58F8">
              <w:rPr>
                <w:sz w:val="24"/>
                <w:szCs w:val="24"/>
                <w:lang w:val="ro-RO"/>
              </w:rPr>
              <w:t>începînd</w:t>
            </w:r>
            <w:proofErr w:type="spellEnd"/>
            <w:r w:rsidRPr="00EC58F8">
              <w:rPr>
                <w:sz w:val="24"/>
                <w:szCs w:val="24"/>
                <w:lang w:val="ro-RO"/>
              </w:rPr>
              <w:t xml:space="preserve"> cu 1 ianuarie 2015. Datorită acestui fapt, informaţia din conturile personale ale persoanelor asigurate este actualizată lunar.</w:t>
            </w:r>
          </w:p>
        </w:tc>
      </w:tr>
      <w:tr w:rsidR="00334CAE" w:rsidRPr="0087426E" w:rsidTr="00507289">
        <w:tc>
          <w:tcPr>
            <w:tcW w:w="806" w:type="dxa"/>
          </w:tcPr>
          <w:p w:rsidR="00334CAE" w:rsidRPr="0087426E" w:rsidRDefault="00334CAE" w:rsidP="00E40040">
            <w:pPr>
              <w:jc w:val="center"/>
              <w:rPr>
                <w:lang w:val="ro-RO"/>
              </w:rPr>
            </w:pPr>
          </w:p>
        </w:tc>
        <w:tc>
          <w:tcPr>
            <w:tcW w:w="2421" w:type="dxa"/>
          </w:tcPr>
          <w:p w:rsidR="00334CAE" w:rsidRPr="0087426E" w:rsidRDefault="00334CAE" w:rsidP="00017F5C">
            <w:pPr>
              <w:rPr>
                <w:lang w:val="ro-RO"/>
              </w:rPr>
            </w:pPr>
          </w:p>
        </w:tc>
        <w:tc>
          <w:tcPr>
            <w:tcW w:w="4678" w:type="dxa"/>
          </w:tcPr>
          <w:p w:rsidR="00334CAE" w:rsidRPr="0087426E" w:rsidRDefault="00334CAE" w:rsidP="00334CAE">
            <w:pPr>
              <w:rPr>
                <w:sz w:val="24"/>
                <w:szCs w:val="24"/>
                <w:lang w:val="ro-RO" w:eastAsia="ro-RO"/>
              </w:rPr>
            </w:pPr>
            <w:r w:rsidRPr="0087426E">
              <w:rPr>
                <w:sz w:val="24"/>
                <w:szCs w:val="24"/>
                <w:lang w:val="ro-RO" w:eastAsia="ro-RO"/>
              </w:rPr>
              <w:t>3</w:t>
            </w:r>
            <w:r w:rsidRPr="0087426E">
              <w:rPr>
                <w:sz w:val="24"/>
                <w:szCs w:val="24"/>
                <w:vertAlign w:val="superscript"/>
                <w:lang w:val="ro-RO" w:eastAsia="ro-RO"/>
              </w:rPr>
              <w:t>1</w:t>
            </w:r>
            <w:r w:rsidRPr="0087426E">
              <w:rPr>
                <w:sz w:val="24"/>
                <w:szCs w:val="24"/>
                <w:lang w:val="ro-RO" w:eastAsia="ro-RO"/>
              </w:rPr>
              <w:t xml:space="preserve">.3. Modificarea Legii nr.156-XIV din 14 octombrie 1998 privind pensiile de asigurări sociale prin stabilirea pensiei în baza contribuţiilor de asigurări sociale achitate pentru perioada </w:t>
            </w:r>
            <w:proofErr w:type="spellStart"/>
            <w:r w:rsidRPr="0087426E">
              <w:rPr>
                <w:sz w:val="24"/>
                <w:szCs w:val="24"/>
                <w:lang w:val="ro-RO" w:eastAsia="ro-RO"/>
              </w:rPr>
              <w:t>începînd</w:t>
            </w:r>
            <w:proofErr w:type="spellEnd"/>
            <w:r w:rsidRPr="0087426E">
              <w:rPr>
                <w:sz w:val="24"/>
                <w:szCs w:val="24"/>
                <w:lang w:val="ro-RO" w:eastAsia="ro-RO"/>
              </w:rPr>
              <w:t xml:space="preserve"> cu 1 ianuarie 1999 şi </w:t>
            </w:r>
            <w:proofErr w:type="spellStart"/>
            <w:r w:rsidRPr="0087426E">
              <w:rPr>
                <w:sz w:val="24"/>
                <w:szCs w:val="24"/>
                <w:lang w:val="ro-RO" w:eastAsia="ro-RO"/>
              </w:rPr>
              <w:t>pînă</w:t>
            </w:r>
            <w:proofErr w:type="spellEnd"/>
            <w:r w:rsidRPr="0087426E">
              <w:rPr>
                <w:sz w:val="24"/>
                <w:szCs w:val="24"/>
                <w:lang w:val="ro-RO" w:eastAsia="ro-RO"/>
              </w:rPr>
              <w:t xml:space="preserve"> la momentul realizării dreptului la pensie</w:t>
            </w:r>
          </w:p>
        </w:tc>
        <w:tc>
          <w:tcPr>
            <w:tcW w:w="1417" w:type="dxa"/>
          </w:tcPr>
          <w:p w:rsidR="00334CAE" w:rsidRPr="0087426E" w:rsidRDefault="00334CAE" w:rsidP="00E40040">
            <w:pPr>
              <w:jc w:val="center"/>
              <w:rPr>
                <w:sz w:val="24"/>
                <w:szCs w:val="24"/>
                <w:lang w:val="ro-RO"/>
              </w:rPr>
            </w:pPr>
            <w:r w:rsidRPr="0087426E">
              <w:rPr>
                <w:sz w:val="24"/>
                <w:szCs w:val="24"/>
                <w:lang w:val="ro-RO"/>
              </w:rPr>
              <w:t>2015-2016</w:t>
            </w:r>
          </w:p>
        </w:tc>
        <w:tc>
          <w:tcPr>
            <w:tcW w:w="1701" w:type="dxa"/>
          </w:tcPr>
          <w:p w:rsidR="00334CAE" w:rsidRPr="0087426E" w:rsidRDefault="00334CAE" w:rsidP="001F4C54">
            <w:pPr>
              <w:jc w:val="center"/>
              <w:rPr>
                <w:sz w:val="24"/>
                <w:szCs w:val="24"/>
                <w:lang w:val="ro-RO" w:eastAsia="ro-RO"/>
              </w:rPr>
            </w:pPr>
            <w:r w:rsidRPr="0087426E">
              <w:rPr>
                <w:sz w:val="24"/>
                <w:szCs w:val="24"/>
                <w:lang w:val="ro-RO" w:eastAsia="ro-RO"/>
              </w:rPr>
              <w:t>Ministerul Muncii, Protecţiei Sociale şi Familiei, Casa Naţională de Asigurări Sociale</w:t>
            </w:r>
          </w:p>
        </w:tc>
        <w:tc>
          <w:tcPr>
            <w:tcW w:w="4755" w:type="dxa"/>
          </w:tcPr>
          <w:p w:rsidR="00334CAE" w:rsidRDefault="007636EC" w:rsidP="00BC3947">
            <w:pPr>
              <w:ind w:firstLine="317"/>
              <w:jc w:val="both"/>
              <w:rPr>
                <w:i/>
                <w:sz w:val="24"/>
                <w:szCs w:val="24"/>
                <w:lang w:val="ro-RO"/>
              </w:rPr>
            </w:pPr>
            <w:r>
              <w:rPr>
                <w:sz w:val="24"/>
                <w:szCs w:val="24"/>
                <w:lang w:val="ro-RO"/>
              </w:rPr>
              <w:t xml:space="preserve">   </w:t>
            </w:r>
            <w:r w:rsidR="00EC58F8" w:rsidRPr="00EC58F8">
              <w:rPr>
                <w:sz w:val="24"/>
                <w:szCs w:val="24"/>
                <w:lang w:val="ro-RO"/>
              </w:rPr>
              <w:t xml:space="preserve">Pe parcursul anului 2015 nu au fost operate modificări în </w:t>
            </w:r>
            <w:r w:rsidR="00EC58F8" w:rsidRPr="00EC58F8">
              <w:rPr>
                <w:i/>
                <w:sz w:val="24"/>
                <w:szCs w:val="24"/>
                <w:lang w:val="ro-RO"/>
              </w:rPr>
              <w:t>Legea nr. 156-XIV din 14 octombrie 1998 privind pensiile de asigurări sociale</w:t>
            </w:r>
            <w:r w:rsidR="00D0489C">
              <w:rPr>
                <w:i/>
                <w:sz w:val="24"/>
                <w:szCs w:val="24"/>
                <w:lang w:val="ro-RO"/>
              </w:rPr>
              <w:t>,</w:t>
            </w:r>
            <w:r w:rsidR="00EC58F8" w:rsidRPr="00EC58F8">
              <w:rPr>
                <w:i/>
                <w:sz w:val="24"/>
                <w:szCs w:val="24"/>
                <w:lang w:val="ro-RO"/>
              </w:rPr>
              <w:t xml:space="preserve"> </w:t>
            </w:r>
            <w:r w:rsidR="00D0489C" w:rsidRPr="00D0489C">
              <w:rPr>
                <w:b/>
                <w:i/>
                <w:sz w:val="24"/>
                <w:szCs w:val="24"/>
                <w:lang w:val="ro-RO"/>
              </w:rPr>
              <w:t xml:space="preserve">pentru a </w:t>
            </w:r>
            <w:r w:rsidR="00EC58F8" w:rsidRPr="00D0489C">
              <w:rPr>
                <w:b/>
                <w:i/>
                <w:sz w:val="24"/>
                <w:szCs w:val="24"/>
                <w:lang w:val="ro-RO"/>
              </w:rPr>
              <w:t>stabili pensi</w:t>
            </w:r>
            <w:r w:rsidR="00D0489C" w:rsidRPr="00D0489C">
              <w:rPr>
                <w:b/>
                <w:i/>
                <w:sz w:val="24"/>
                <w:szCs w:val="24"/>
                <w:lang w:val="ro-RO"/>
              </w:rPr>
              <w:t>a</w:t>
            </w:r>
            <w:r w:rsidR="00EC58F8" w:rsidRPr="00EC58F8">
              <w:rPr>
                <w:i/>
                <w:sz w:val="24"/>
                <w:szCs w:val="24"/>
                <w:lang w:val="ro-RO"/>
              </w:rPr>
              <w:t xml:space="preserve"> în baza contribuţiilor de asigurări sociale achitate pentru perioada </w:t>
            </w:r>
            <w:proofErr w:type="spellStart"/>
            <w:r w:rsidR="00EC58F8" w:rsidRPr="00EC58F8">
              <w:rPr>
                <w:i/>
                <w:sz w:val="24"/>
                <w:szCs w:val="24"/>
                <w:lang w:val="ro-RO"/>
              </w:rPr>
              <w:t>începînd</w:t>
            </w:r>
            <w:proofErr w:type="spellEnd"/>
            <w:r w:rsidR="00EC58F8" w:rsidRPr="00EC58F8">
              <w:rPr>
                <w:i/>
                <w:sz w:val="24"/>
                <w:szCs w:val="24"/>
                <w:lang w:val="ro-RO"/>
              </w:rPr>
              <w:t xml:space="preserve"> cu 1 ianuarie 1999 şi </w:t>
            </w:r>
            <w:proofErr w:type="spellStart"/>
            <w:r w:rsidR="00EC58F8" w:rsidRPr="00EC58F8">
              <w:rPr>
                <w:i/>
                <w:sz w:val="24"/>
                <w:szCs w:val="24"/>
                <w:lang w:val="ro-RO"/>
              </w:rPr>
              <w:t>pînă</w:t>
            </w:r>
            <w:proofErr w:type="spellEnd"/>
            <w:r w:rsidR="00EC58F8" w:rsidRPr="00EC58F8">
              <w:rPr>
                <w:i/>
                <w:sz w:val="24"/>
                <w:szCs w:val="24"/>
                <w:lang w:val="ro-RO"/>
              </w:rPr>
              <w:t xml:space="preserve"> la momentul realizării dreptului la pensie.</w:t>
            </w:r>
          </w:p>
          <w:p w:rsidR="008B5550" w:rsidRDefault="007636EC" w:rsidP="00BC3947">
            <w:pPr>
              <w:ind w:firstLine="317"/>
              <w:jc w:val="both"/>
              <w:rPr>
                <w:sz w:val="24"/>
                <w:szCs w:val="24"/>
                <w:lang w:val="ro-RO"/>
              </w:rPr>
            </w:pPr>
            <w:r>
              <w:rPr>
                <w:sz w:val="24"/>
                <w:szCs w:val="24"/>
                <w:lang w:val="ro-RO"/>
              </w:rPr>
              <w:t xml:space="preserve">   Totodată, p</w:t>
            </w:r>
            <w:r w:rsidR="008B5550">
              <w:rPr>
                <w:sz w:val="24"/>
                <w:szCs w:val="24"/>
                <w:lang w:val="ro-RO"/>
              </w:rPr>
              <w:t xml:space="preserve">otrivit art. 53 alin. (2) al legii menționate, asiguratului care, după data intrării a prezentei legi (01.01.1999), a realizat un stagiu de cotizare de cel puțin 20 de ani i se calculează pensie, din venitul mediu lunar asigurat realizat după intrarea în vigoare a prezentei legi, </w:t>
            </w:r>
            <w:proofErr w:type="spellStart"/>
            <w:r w:rsidR="008B5550">
              <w:rPr>
                <w:sz w:val="24"/>
                <w:szCs w:val="24"/>
                <w:lang w:val="ro-RO"/>
              </w:rPr>
              <w:t>luîndu-se</w:t>
            </w:r>
            <w:proofErr w:type="spellEnd"/>
            <w:r w:rsidR="008B5550">
              <w:rPr>
                <w:sz w:val="24"/>
                <w:szCs w:val="24"/>
                <w:lang w:val="ro-RO"/>
              </w:rPr>
              <w:t xml:space="preserve"> în considerare stagiul de cotizare total.</w:t>
            </w:r>
          </w:p>
          <w:p w:rsidR="008B5550" w:rsidRPr="0039739C" w:rsidRDefault="008B5550" w:rsidP="0039739C">
            <w:pPr>
              <w:ind w:firstLine="317"/>
              <w:jc w:val="both"/>
              <w:rPr>
                <w:sz w:val="24"/>
                <w:szCs w:val="24"/>
                <w:lang w:val="ro-RO"/>
              </w:rPr>
            </w:pPr>
            <w:r>
              <w:rPr>
                <w:sz w:val="24"/>
                <w:szCs w:val="24"/>
                <w:lang w:val="ro-RO"/>
              </w:rPr>
              <w:t xml:space="preserve">   Totodată la calcularea pensiei, venitul mediu lunar asigurat realizat după 01.01.1999 se ia în valoarea sa reală, fără actualizarea în baza evoluției prețurilor din această perioadă. Pentru identificarea acestui mecanism de către Organizația Internațională a Muncii în anul 2015 a fost contractat un expert național.</w:t>
            </w:r>
          </w:p>
        </w:tc>
      </w:tr>
      <w:tr w:rsidR="00334CAE" w:rsidRPr="0087426E" w:rsidTr="00507289">
        <w:tc>
          <w:tcPr>
            <w:tcW w:w="806" w:type="dxa"/>
          </w:tcPr>
          <w:p w:rsidR="00334CAE" w:rsidRPr="0087426E" w:rsidRDefault="00334CAE" w:rsidP="00E40040">
            <w:pPr>
              <w:jc w:val="center"/>
              <w:rPr>
                <w:lang w:val="ro-RO"/>
              </w:rPr>
            </w:pPr>
            <w:r w:rsidRPr="0087426E">
              <w:rPr>
                <w:lang w:val="ro-RO"/>
              </w:rPr>
              <w:t>5.</w:t>
            </w:r>
          </w:p>
        </w:tc>
        <w:tc>
          <w:tcPr>
            <w:tcW w:w="2421" w:type="dxa"/>
          </w:tcPr>
          <w:p w:rsidR="00334CAE" w:rsidRPr="0087426E" w:rsidRDefault="00334CAE" w:rsidP="00334CAE">
            <w:pPr>
              <w:rPr>
                <w:sz w:val="24"/>
                <w:szCs w:val="24"/>
                <w:lang w:val="ro-RO" w:eastAsia="ro-RO"/>
              </w:rPr>
            </w:pPr>
            <w:r w:rsidRPr="0087426E">
              <w:rPr>
                <w:sz w:val="24"/>
                <w:szCs w:val="24"/>
                <w:lang w:val="ro-RO" w:eastAsia="ro-RO"/>
              </w:rPr>
              <w:t>Intensificarea controlului în scopul depistării evaziunilor şi contracarării fenomenului “muncii la negru”</w:t>
            </w:r>
          </w:p>
        </w:tc>
        <w:tc>
          <w:tcPr>
            <w:tcW w:w="4678" w:type="dxa"/>
          </w:tcPr>
          <w:p w:rsidR="00334CAE" w:rsidRPr="0087426E" w:rsidRDefault="00334CAE" w:rsidP="00334CAE">
            <w:pPr>
              <w:rPr>
                <w:sz w:val="24"/>
                <w:szCs w:val="24"/>
                <w:lang w:val="ro-RO" w:eastAsia="ro-RO"/>
              </w:rPr>
            </w:pPr>
            <w:r w:rsidRPr="0087426E">
              <w:rPr>
                <w:sz w:val="24"/>
                <w:szCs w:val="24"/>
                <w:lang w:val="ro-RO" w:eastAsia="ro-RO"/>
              </w:rPr>
              <w:t>5.1. Crearea şi conlucrarea echipelor multidisciplinare între Inspectoratul Fiscal Principal de Stat, Inspectoratul de Stat al Muncii, Inspectoratul General al Poliţiei în vederea efectuării controalelor operative comune la întreprinderi</w:t>
            </w:r>
          </w:p>
          <w:p w:rsidR="00334CAE" w:rsidRPr="0087426E" w:rsidRDefault="00334CAE" w:rsidP="00334CAE">
            <w:pPr>
              <w:rPr>
                <w:sz w:val="24"/>
                <w:szCs w:val="24"/>
                <w:lang w:val="ro-RO" w:eastAsia="ro-RO"/>
              </w:rPr>
            </w:pPr>
          </w:p>
        </w:tc>
        <w:tc>
          <w:tcPr>
            <w:tcW w:w="1417" w:type="dxa"/>
          </w:tcPr>
          <w:p w:rsidR="00334CAE" w:rsidRPr="0087426E" w:rsidRDefault="00334CAE" w:rsidP="00E40040">
            <w:pPr>
              <w:jc w:val="center"/>
              <w:rPr>
                <w:sz w:val="24"/>
                <w:szCs w:val="24"/>
                <w:lang w:val="ro-RO"/>
              </w:rPr>
            </w:pPr>
            <w:r w:rsidRPr="0087426E">
              <w:rPr>
                <w:sz w:val="24"/>
                <w:szCs w:val="24"/>
                <w:lang w:val="ro-RO"/>
              </w:rPr>
              <w:t>2015-2017</w:t>
            </w:r>
          </w:p>
        </w:tc>
        <w:tc>
          <w:tcPr>
            <w:tcW w:w="1701" w:type="dxa"/>
          </w:tcPr>
          <w:p w:rsidR="00334CAE" w:rsidRPr="0087426E" w:rsidRDefault="00334CAE" w:rsidP="001F4C54">
            <w:pPr>
              <w:jc w:val="center"/>
              <w:rPr>
                <w:sz w:val="24"/>
                <w:szCs w:val="24"/>
                <w:lang w:val="ro-RO" w:eastAsia="ro-RO"/>
              </w:rPr>
            </w:pPr>
            <w:r w:rsidRPr="0087426E">
              <w:rPr>
                <w:sz w:val="24"/>
                <w:szCs w:val="24"/>
                <w:lang w:val="ro-RO" w:eastAsia="ro-RO"/>
              </w:rPr>
              <w:t xml:space="preserve">Inspectoratul Fiscal Principal de Stat, Inspectoratul de Stat al Muncii, </w:t>
            </w:r>
            <w:r w:rsidRPr="0087426E">
              <w:rPr>
                <w:sz w:val="24"/>
                <w:szCs w:val="24"/>
                <w:lang w:val="ro-RO" w:eastAsia="ro-RO"/>
              </w:rPr>
              <w:lastRenderedPageBreak/>
              <w:t>Inspectoratul General al Poliţiei, Confederaţia Naţională a Sindicatelor din Moldova</w:t>
            </w:r>
          </w:p>
        </w:tc>
        <w:tc>
          <w:tcPr>
            <w:tcW w:w="4755" w:type="dxa"/>
          </w:tcPr>
          <w:p w:rsidR="001318ED" w:rsidRPr="001318ED" w:rsidRDefault="001318ED" w:rsidP="00BC3947">
            <w:pPr>
              <w:ind w:firstLine="317"/>
              <w:jc w:val="both"/>
              <w:outlineLvl w:val="1"/>
              <w:rPr>
                <w:color w:val="000000"/>
                <w:sz w:val="24"/>
                <w:szCs w:val="24"/>
                <w:lang w:val="ro-RO"/>
              </w:rPr>
            </w:pPr>
            <w:r>
              <w:rPr>
                <w:sz w:val="24"/>
                <w:szCs w:val="24"/>
                <w:lang w:val="ro-RO"/>
              </w:rPr>
              <w:lastRenderedPageBreak/>
              <w:t xml:space="preserve">   Întru realizarea acțiunii respective, a fost semnat Ordinul comun de crearea a echipelor </w:t>
            </w:r>
            <w:r w:rsidR="00D1433A" w:rsidRPr="0087426E">
              <w:rPr>
                <w:color w:val="000000"/>
                <w:sz w:val="24"/>
                <w:szCs w:val="24"/>
                <w:lang w:val="ro-RO"/>
              </w:rPr>
              <w:t>multidisciplinare</w:t>
            </w:r>
            <w:r>
              <w:rPr>
                <w:color w:val="000000"/>
                <w:sz w:val="24"/>
                <w:szCs w:val="24"/>
                <w:lang w:val="ro-RO"/>
              </w:rPr>
              <w:t>, în care sunt incluși reprezentanți ai</w:t>
            </w:r>
            <w:r w:rsidR="00D1433A" w:rsidRPr="0087426E">
              <w:rPr>
                <w:color w:val="000000"/>
                <w:sz w:val="24"/>
                <w:szCs w:val="24"/>
                <w:lang w:val="ro-RO"/>
              </w:rPr>
              <w:t xml:space="preserve"> Inspectoratul</w:t>
            </w:r>
            <w:r>
              <w:rPr>
                <w:color w:val="000000"/>
                <w:sz w:val="24"/>
                <w:szCs w:val="24"/>
                <w:lang w:val="ro-RO"/>
              </w:rPr>
              <w:t>ui</w:t>
            </w:r>
            <w:r w:rsidR="00D1433A" w:rsidRPr="0087426E">
              <w:rPr>
                <w:color w:val="000000"/>
                <w:sz w:val="24"/>
                <w:szCs w:val="24"/>
                <w:lang w:val="ro-RO"/>
              </w:rPr>
              <w:t xml:space="preserve"> Fiscal Principal de Stat, Inspectoratul</w:t>
            </w:r>
            <w:r>
              <w:rPr>
                <w:color w:val="000000"/>
                <w:sz w:val="24"/>
                <w:szCs w:val="24"/>
                <w:lang w:val="ro-RO"/>
              </w:rPr>
              <w:t>ui</w:t>
            </w:r>
            <w:r w:rsidR="00D1433A" w:rsidRPr="0087426E">
              <w:rPr>
                <w:color w:val="000000"/>
                <w:sz w:val="24"/>
                <w:szCs w:val="24"/>
                <w:lang w:val="ro-RO"/>
              </w:rPr>
              <w:t xml:space="preserve"> de Stat al Muncii, Inspectoratul</w:t>
            </w:r>
            <w:r>
              <w:rPr>
                <w:color w:val="000000"/>
                <w:sz w:val="24"/>
                <w:szCs w:val="24"/>
                <w:lang w:val="ro-RO"/>
              </w:rPr>
              <w:t>ui</w:t>
            </w:r>
            <w:r w:rsidR="00D1433A" w:rsidRPr="0087426E">
              <w:rPr>
                <w:color w:val="000000"/>
                <w:sz w:val="24"/>
                <w:szCs w:val="24"/>
                <w:lang w:val="ro-RO"/>
              </w:rPr>
              <w:t xml:space="preserve"> General al Poliţiei</w:t>
            </w:r>
            <w:r>
              <w:rPr>
                <w:color w:val="000000"/>
                <w:sz w:val="24"/>
                <w:szCs w:val="24"/>
                <w:lang w:val="ro-RO"/>
              </w:rPr>
              <w:t xml:space="preserve"> și Confederației Naționale a Sindicatelor din </w:t>
            </w:r>
            <w:r>
              <w:rPr>
                <w:color w:val="000000"/>
                <w:sz w:val="24"/>
                <w:szCs w:val="24"/>
                <w:lang w:val="ro-RO"/>
              </w:rPr>
              <w:lastRenderedPageBreak/>
              <w:t>Moldova.</w:t>
            </w:r>
          </w:p>
          <w:p w:rsidR="00675286" w:rsidRPr="0087426E" w:rsidRDefault="00DA7206" w:rsidP="00BC3947">
            <w:pPr>
              <w:ind w:firstLine="317"/>
              <w:jc w:val="both"/>
              <w:rPr>
                <w:sz w:val="24"/>
                <w:szCs w:val="24"/>
                <w:lang w:val="ro-RO"/>
              </w:rPr>
            </w:pPr>
            <w:r>
              <w:rPr>
                <w:sz w:val="24"/>
                <w:szCs w:val="24"/>
                <w:lang w:val="ro-RO"/>
              </w:rPr>
              <w:t xml:space="preserve">   </w:t>
            </w:r>
            <w:r w:rsidR="00675286" w:rsidRPr="0087426E">
              <w:rPr>
                <w:sz w:val="24"/>
                <w:szCs w:val="24"/>
                <w:lang w:val="ro-RO"/>
              </w:rPr>
              <w:t>Pe parcursul anului 2015</w:t>
            </w:r>
            <w:r>
              <w:rPr>
                <w:sz w:val="24"/>
                <w:szCs w:val="24"/>
                <w:lang w:val="ro-RO"/>
              </w:rPr>
              <w:t xml:space="preserve"> de către colaboratorii Inspectoratului de Stat al Muncii</w:t>
            </w:r>
            <w:r w:rsidR="00675286" w:rsidRPr="0087426E">
              <w:rPr>
                <w:sz w:val="24"/>
                <w:szCs w:val="24"/>
                <w:lang w:val="ro-RO"/>
              </w:rPr>
              <w:t xml:space="preserve"> au fost efectuate 6933 controale la 6182 agenţi economici cu un număr de 234,7 mii salariaţi, din care 112,4 mii femei şi 40 minori. La 272 agenţi economici şi 87 angajatori-persoane fizice au fost depistate 818 persoane ce activau fără forme legale de angajare, inclusiv 260 femei şi 31 minori. </w:t>
            </w:r>
          </w:p>
          <w:p w:rsidR="00675286" w:rsidRPr="0087426E" w:rsidRDefault="00675286" w:rsidP="00BC3947">
            <w:pPr>
              <w:ind w:firstLine="317"/>
              <w:jc w:val="both"/>
              <w:rPr>
                <w:sz w:val="24"/>
                <w:szCs w:val="24"/>
                <w:lang w:val="ro-RO"/>
              </w:rPr>
            </w:pPr>
            <w:r w:rsidRPr="0087426E">
              <w:rPr>
                <w:sz w:val="24"/>
                <w:szCs w:val="24"/>
                <w:lang w:val="ro-RO"/>
              </w:rPr>
              <w:t xml:space="preserve">         Ca rezultat al acţiunilor întreprinse de către inspectorii de muncă – 216</w:t>
            </w:r>
            <w:r w:rsidRPr="0087426E">
              <w:rPr>
                <w:sz w:val="24"/>
                <w:szCs w:val="24"/>
                <w:shd w:val="clear" w:color="auto" w:fill="FFFFFF"/>
                <w:lang w:val="ro-RO"/>
              </w:rPr>
              <w:t xml:space="preserve"> </w:t>
            </w:r>
            <w:r w:rsidRPr="0087426E">
              <w:rPr>
                <w:sz w:val="24"/>
                <w:szCs w:val="24"/>
                <w:lang w:val="ro-RO"/>
              </w:rPr>
              <w:t>persoane au fost repuse în drepturi, fiindu-le legalizate relaţiile de muncă cu angajatorii. Astfel, reprezentanții Inspectoratului Fiscal de Stat au participat la efectuarea 110 vizite de control, fiind depistate 92 persoane, care prestau activitate nedeclarată. Reprezentanții Inspectoratului de Poliție au participat la efectuarea 123 vizite de control, fiind depistați 150 salariați, care prestau munca nedeclarată. De asemenea au fost întreprinse vizite de lucru în comun cu reprezentanţii subdiviziunilor teritoriale ale sindicatelor, fiind efectuate 69 vizite de control.</w:t>
            </w:r>
          </w:p>
          <w:p w:rsidR="00C05344" w:rsidRDefault="00DA7206" w:rsidP="00BC3947">
            <w:pPr>
              <w:ind w:firstLine="317"/>
              <w:jc w:val="both"/>
              <w:rPr>
                <w:sz w:val="24"/>
                <w:szCs w:val="24"/>
                <w:lang w:val="ro-RO"/>
              </w:rPr>
            </w:pPr>
            <w:r>
              <w:rPr>
                <w:sz w:val="24"/>
                <w:szCs w:val="24"/>
                <w:lang w:val="ro-RO"/>
              </w:rPr>
              <w:t xml:space="preserve">   </w:t>
            </w:r>
            <w:r w:rsidR="00C05344">
              <w:rPr>
                <w:sz w:val="24"/>
                <w:szCs w:val="24"/>
                <w:lang w:val="ro-RO"/>
              </w:rPr>
              <w:t xml:space="preserve"> Ca urmare a conlucrării echipelor multidisciplinare, pe parcursul anului 2015,</w:t>
            </w:r>
            <w:r>
              <w:rPr>
                <w:sz w:val="24"/>
                <w:szCs w:val="24"/>
                <w:lang w:val="ro-RO"/>
              </w:rPr>
              <w:t xml:space="preserve"> de către Serviciul Fiscal de Stat,</w:t>
            </w:r>
            <w:r w:rsidR="00C05344">
              <w:rPr>
                <w:sz w:val="24"/>
                <w:szCs w:val="24"/>
                <w:lang w:val="ro-RO"/>
              </w:rPr>
              <w:t xml:space="preserve"> 3424 contribuabili au fost supuși verificărilor cu ieșire la fața locului și/sau prin aplicarea metodelor și surselor indirecte de estimare a obligațiilor fiscale. În urma controalelor efectuate au fost întocmite 1587 acte de control și 17594 procese-verbale contravenționale pentru activitate ilicită și 2424 procese-verbale contravenționale întocmite conform competențelor în care au </w:t>
            </w:r>
            <w:r w:rsidR="00C05344">
              <w:rPr>
                <w:sz w:val="24"/>
                <w:szCs w:val="24"/>
                <w:lang w:val="ro-RO"/>
              </w:rPr>
              <w:lastRenderedPageBreak/>
              <w:t>fost consemnate încălcări și abateri de la prevederile actelor legislative și normative.</w:t>
            </w:r>
          </w:p>
          <w:p w:rsidR="00207037" w:rsidRDefault="00207037" w:rsidP="00BC3947">
            <w:pPr>
              <w:ind w:firstLine="317"/>
              <w:jc w:val="both"/>
              <w:rPr>
                <w:sz w:val="24"/>
                <w:szCs w:val="24"/>
                <w:lang w:val="ro-RO"/>
              </w:rPr>
            </w:pPr>
            <w:r>
              <w:rPr>
                <w:sz w:val="24"/>
                <w:szCs w:val="24"/>
                <w:lang w:val="ro-RO"/>
              </w:rPr>
              <w:t xml:space="preserve">   În baza a 17594 procese-verbale contravenționale întocmite pentru practicarea activităților ilicite au fost aplicate sancțiuni contravenționale în sumă de 16960,9 mii lei, 7893,47 mii lei achitate în perioada de gestiune.</w:t>
            </w:r>
          </w:p>
          <w:p w:rsidR="00D04AF6" w:rsidRDefault="00D04AF6" w:rsidP="00BC3947">
            <w:pPr>
              <w:ind w:firstLine="317"/>
              <w:jc w:val="both"/>
              <w:rPr>
                <w:sz w:val="24"/>
                <w:szCs w:val="24"/>
                <w:lang w:val="ro-RO"/>
              </w:rPr>
            </w:pPr>
            <w:r>
              <w:rPr>
                <w:sz w:val="24"/>
                <w:szCs w:val="24"/>
                <w:lang w:val="ro-RO"/>
              </w:rPr>
              <w:t xml:space="preserve">   În baza a 1587 acte de control, au fost emise 845 decizii asupra cazurilor de încălcare a legislației, fiind calculate suplimentar la buget impozite, taxe și alte plăți în suma totală de 11921,9 mii lei, inclusiv prin metode și surse indirecte 5955,06 mii lei, din ele achitate în perioada de gestiune 6516,2 mii lei.</w:t>
            </w:r>
          </w:p>
          <w:p w:rsidR="00761B3E" w:rsidRPr="00761B3E" w:rsidRDefault="00761B3E" w:rsidP="00BC3947">
            <w:pPr>
              <w:ind w:firstLine="317"/>
              <w:jc w:val="both"/>
              <w:rPr>
                <w:rFonts w:eastAsia="Calibri"/>
                <w:sz w:val="24"/>
                <w:szCs w:val="24"/>
                <w:lang w:val="ro-MO"/>
              </w:rPr>
            </w:pPr>
            <w:r>
              <w:rPr>
                <w:sz w:val="24"/>
                <w:szCs w:val="24"/>
                <w:lang w:val="ro-RO"/>
              </w:rPr>
              <w:t xml:space="preserve"> </w:t>
            </w:r>
            <w:r w:rsidRPr="00761B3E">
              <w:rPr>
                <w:sz w:val="24"/>
                <w:szCs w:val="24"/>
                <w:lang w:val="ro-RO"/>
              </w:rPr>
              <w:t xml:space="preserve">  </w:t>
            </w:r>
            <w:r w:rsidRPr="00761B3E">
              <w:rPr>
                <w:rFonts w:eastAsia="Calibri"/>
                <w:sz w:val="24"/>
                <w:szCs w:val="24"/>
                <w:lang w:val="ro-MO"/>
              </w:rPr>
              <w:t xml:space="preserve">Tot în această perioadă, de către echipele multidisciplinare au fost identificate persoane care practică „munca la negru” şi depistate persoane beneficiari de salarii „în plic”, numărul cărora constituie 2 296. Suma salariilor „în plic” estimată, care nu este înregistrată conform legii şi din care nu au fost calculate contribuţiile asigurărilor sociale de stat, primele de asigurare obligatorie de asistenţă medicală şi impozitul pe venit, constituie 12 714,16 mii lei. </w:t>
            </w:r>
          </w:p>
          <w:p w:rsidR="00761B3E" w:rsidRPr="00761B3E" w:rsidRDefault="00761B3E" w:rsidP="00BC3947">
            <w:pPr>
              <w:ind w:firstLine="317"/>
              <w:jc w:val="both"/>
              <w:rPr>
                <w:rFonts w:eastAsia="Calibri"/>
                <w:sz w:val="24"/>
                <w:szCs w:val="24"/>
                <w:lang w:val="ro-MO"/>
              </w:rPr>
            </w:pPr>
            <w:r w:rsidRPr="00761B3E">
              <w:rPr>
                <w:rFonts w:eastAsia="Calibri"/>
                <w:sz w:val="24"/>
                <w:szCs w:val="24"/>
                <w:lang w:val="ro-MO"/>
              </w:rPr>
              <w:t>Astfel, ca rezultat al activităţii SFS în scopul depistării evaziunilor şi contracarării fenomenului „muncii la negru”, sumele suplimentar calculate în baza deciziilor adoptate sunt constituite din:</w:t>
            </w:r>
          </w:p>
          <w:p w:rsidR="00761B3E" w:rsidRPr="00761B3E" w:rsidRDefault="00761B3E" w:rsidP="00BC3947">
            <w:pPr>
              <w:numPr>
                <w:ilvl w:val="0"/>
                <w:numId w:val="5"/>
              </w:numPr>
              <w:tabs>
                <w:tab w:val="left" w:pos="284"/>
              </w:tabs>
              <w:ind w:left="0" w:firstLine="317"/>
              <w:jc w:val="both"/>
              <w:rPr>
                <w:sz w:val="24"/>
                <w:szCs w:val="24"/>
                <w:lang w:val="ro-MO"/>
              </w:rPr>
            </w:pPr>
            <w:r w:rsidRPr="00761B3E">
              <w:rPr>
                <w:rFonts w:eastAsia="Calibri"/>
                <w:sz w:val="24"/>
                <w:szCs w:val="24"/>
                <w:lang w:val="ro-MO"/>
              </w:rPr>
              <w:t>impozit pe venit reţinut din plăţile salariale în sumă de 750,07 mii lei, inclusiv calculat prin metode şi surse indirecte 444,94  mii lei, achitat 503,79 mii lei;</w:t>
            </w:r>
          </w:p>
          <w:p w:rsidR="00761B3E" w:rsidRPr="00761B3E" w:rsidRDefault="00761B3E" w:rsidP="00BC3947">
            <w:pPr>
              <w:numPr>
                <w:ilvl w:val="0"/>
                <w:numId w:val="5"/>
              </w:numPr>
              <w:tabs>
                <w:tab w:val="left" w:pos="284"/>
              </w:tabs>
              <w:ind w:left="0" w:firstLine="317"/>
              <w:jc w:val="both"/>
              <w:rPr>
                <w:sz w:val="24"/>
                <w:szCs w:val="24"/>
                <w:lang w:val="ro-MO"/>
              </w:rPr>
            </w:pPr>
            <w:r w:rsidRPr="00761B3E">
              <w:rPr>
                <w:rFonts w:eastAsia="Calibri"/>
                <w:sz w:val="24"/>
                <w:szCs w:val="24"/>
                <w:lang w:val="ro-MO"/>
              </w:rPr>
              <w:t xml:space="preserve">contribuţii de asigurări sociale de stat în sumă de 4 968,7 mii lei, inclusiv achitate  </w:t>
            </w:r>
            <w:r w:rsidRPr="00761B3E">
              <w:rPr>
                <w:rFonts w:eastAsia="Calibri"/>
                <w:sz w:val="24"/>
                <w:szCs w:val="24"/>
                <w:lang w:val="ro-MO"/>
              </w:rPr>
              <w:lastRenderedPageBreak/>
              <w:t>3 048,33 mii lei;</w:t>
            </w:r>
          </w:p>
          <w:p w:rsidR="00761B3E" w:rsidRPr="00761B3E" w:rsidRDefault="00761B3E" w:rsidP="00BC3947">
            <w:pPr>
              <w:numPr>
                <w:ilvl w:val="0"/>
                <w:numId w:val="5"/>
              </w:numPr>
              <w:tabs>
                <w:tab w:val="left" w:pos="284"/>
              </w:tabs>
              <w:ind w:left="0" w:firstLine="317"/>
              <w:jc w:val="both"/>
              <w:rPr>
                <w:rFonts w:eastAsia="Calibri"/>
                <w:sz w:val="24"/>
                <w:szCs w:val="24"/>
                <w:lang w:val="ro-MO"/>
              </w:rPr>
            </w:pPr>
            <w:r w:rsidRPr="00761B3E">
              <w:rPr>
                <w:rFonts w:eastAsia="Calibri"/>
                <w:sz w:val="24"/>
                <w:szCs w:val="24"/>
                <w:lang w:val="ro-MO"/>
              </w:rPr>
              <w:t>prime de asigurare obligatorie de asistenţă medicală în sumă de 1 030,6 mii lei, inclusiv achitate 675,59 mii lei;</w:t>
            </w:r>
          </w:p>
          <w:p w:rsidR="00761B3E" w:rsidRPr="00761B3E" w:rsidRDefault="00761B3E" w:rsidP="00BC3947">
            <w:pPr>
              <w:numPr>
                <w:ilvl w:val="0"/>
                <w:numId w:val="5"/>
              </w:numPr>
              <w:tabs>
                <w:tab w:val="left" w:pos="284"/>
              </w:tabs>
              <w:ind w:left="0" w:firstLine="317"/>
              <w:jc w:val="both"/>
              <w:rPr>
                <w:rFonts w:eastAsia="Calibri"/>
                <w:sz w:val="24"/>
                <w:szCs w:val="24"/>
                <w:lang w:val="ro-MO"/>
              </w:rPr>
            </w:pPr>
            <w:r w:rsidRPr="00761B3E">
              <w:rPr>
                <w:rFonts w:eastAsia="Calibri"/>
                <w:sz w:val="24"/>
                <w:szCs w:val="24"/>
                <w:lang w:val="ro-MO"/>
              </w:rPr>
              <w:t>penalităţi, sancţiuni şi altele în sumă de 5 172,53 mii lei.</w:t>
            </w:r>
          </w:p>
          <w:p w:rsidR="00761B3E" w:rsidRPr="00761B3E" w:rsidRDefault="00761B3E" w:rsidP="00BC3947">
            <w:pPr>
              <w:ind w:firstLine="317"/>
              <w:jc w:val="both"/>
              <w:rPr>
                <w:sz w:val="24"/>
                <w:szCs w:val="24"/>
                <w:lang w:val="ro-MO"/>
              </w:rPr>
            </w:pPr>
            <w:r w:rsidRPr="00761B3E">
              <w:rPr>
                <w:sz w:val="24"/>
                <w:szCs w:val="24"/>
                <w:lang w:val="ro-MO"/>
              </w:rPr>
              <w:t xml:space="preserve">Reprezentanții </w:t>
            </w:r>
            <w:r w:rsidRPr="00761B3E">
              <w:rPr>
                <w:rFonts w:eastAsia="Calibri"/>
                <w:sz w:val="24"/>
                <w:szCs w:val="24"/>
                <w:lang w:val="ro-MO"/>
              </w:rPr>
              <w:t>ISM</w:t>
            </w:r>
            <w:r w:rsidRPr="00761B3E">
              <w:rPr>
                <w:sz w:val="24"/>
                <w:szCs w:val="24"/>
                <w:lang w:val="ro-MO"/>
              </w:rPr>
              <w:t xml:space="preserve"> în colaborare cu reprezentanţii SFS au efectuat 110 controale, fiind depistate 92 persoane care prestau activitate nedeclarată.</w:t>
            </w:r>
          </w:p>
          <w:p w:rsidR="00761B3E" w:rsidRPr="00761B3E" w:rsidRDefault="00761B3E" w:rsidP="00BC3947">
            <w:pPr>
              <w:pStyle w:val="NormalWeb"/>
              <w:spacing w:before="0" w:beforeAutospacing="0" w:after="0" w:afterAutospacing="0"/>
              <w:ind w:firstLine="317"/>
              <w:jc w:val="both"/>
              <w:rPr>
                <w:lang w:val="ro-MO"/>
              </w:rPr>
            </w:pPr>
            <w:r w:rsidRPr="00761B3E">
              <w:rPr>
                <w:lang w:val="ro-MO"/>
              </w:rPr>
              <w:t>De către reprezentanții ISM şi ai IGP pentru perioada 2015 au fost întreprinse 123 vizite de control, fiind depistați 150 salariați care prestau muncă nedeclarată.</w:t>
            </w:r>
          </w:p>
          <w:p w:rsidR="00761B3E" w:rsidRPr="00BC3947" w:rsidRDefault="00761B3E" w:rsidP="00BC3947">
            <w:pPr>
              <w:pStyle w:val="NormalWeb"/>
              <w:spacing w:before="0" w:beforeAutospacing="0" w:after="0" w:afterAutospacing="0"/>
              <w:ind w:firstLine="317"/>
              <w:jc w:val="both"/>
              <w:rPr>
                <w:lang w:val="ro-MO"/>
              </w:rPr>
            </w:pPr>
            <w:r w:rsidRPr="00761B3E">
              <w:rPr>
                <w:lang w:val="ro-MO"/>
              </w:rPr>
              <w:t xml:space="preserve"> Acţiunile comune întreprinse </w:t>
            </w:r>
            <w:r w:rsidRPr="00761B3E">
              <w:rPr>
                <w:rFonts w:eastAsia="Calibri"/>
                <w:lang w:val="ro-MO"/>
              </w:rPr>
              <w:t xml:space="preserve">în perioada 01.01.2015-31.12.2015 </w:t>
            </w:r>
            <w:r w:rsidRPr="00761B3E">
              <w:rPr>
                <w:lang w:val="ro-MO"/>
              </w:rPr>
              <w:t>în vederea prevenirii şi combaterii ilegalităţilor din domeniul muncii au avut un impact direct şi indirect asupra maj</w:t>
            </w:r>
            <w:r w:rsidRPr="00BC3947">
              <w:rPr>
                <w:lang w:val="ro-MO"/>
              </w:rPr>
              <w:t>orării încasărilor la bugetele respective:</w:t>
            </w:r>
          </w:p>
          <w:p w:rsidR="00761B3E" w:rsidRPr="00BC3947" w:rsidRDefault="00761B3E" w:rsidP="00BC3947">
            <w:pPr>
              <w:pStyle w:val="NormalWeb"/>
              <w:spacing w:before="0" w:beforeAutospacing="0" w:after="0" w:afterAutospacing="0"/>
              <w:ind w:firstLine="317"/>
              <w:jc w:val="both"/>
              <w:rPr>
                <w:lang w:val="ro-MO"/>
              </w:rPr>
            </w:pPr>
            <w:r w:rsidRPr="00BC3947">
              <w:rPr>
                <w:lang w:val="ro-MO"/>
              </w:rPr>
              <w:t>- la bugetul public naţional administrat de SFS la compartimentul impozitul pe venit din salariu încasările au crescut cu 11,9%, comparativ cu perioada similară a anului precedent, şi au constituit 2 690 439, 6 mii lei pentru anul 2015 faţă de 2403881,7 mii lei pentru anul 2014 ;</w:t>
            </w:r>
          </w:p>
          <w:p w:rsidR="00761B3E" w:rsidRPr="00BC3947" w:rsidRDefault="00761B3E" w:rsidP="00BC3947">
            <w:pPr>
              <w:pStyle w:val="NormalWeb"/>
              <w:spacing w:before="0" w:beforeAutospacing="0" w:after="0" w:afterAutospacing="0"/>
              <w:ind w:firstLine="317"/>
              <w:jc w:val="both"/>
              <w:rPr>
                <w:lang w:val="ro-MO"/>
              </w:rPr>
            </w:pPr>
            <w:r w:rsidRPr="00BC3947">
              <w:rPr>
                <w:lang w:val="ro-MO"/>
              </w:rPr>
              <w:t>- la bugetul asigurărilor sociale de stat (total) încasările au crescut cu 11,4% şi au constituit  8 914 937,9 mii lei pentru anul 2015 faţă de 8 002 2796,9 mii lei pentru anul 2014;</w:t>
            </w:r>
          </w:p>
          <w:p w:rsidR="00334CAE" w:rsidRPr="00BC3947" w:rsidRDefault="00761B3E" w:rsidP="00BC3947">
            <w:pPr>
              <w:pStyle w:val="NormalWeb"/>
              <w:spacing w:before="0" w:beforeAutospacing="0" w:after="0" w:afterAutospacing="0"/>
              <w:ind w:firstLine="317"/>
              <w:jc w:val="both"/>
              <w:rPr>
                <w:lang w:val="ro-MO"/>
              </w:rPr>
            </w:pPr>
            <w:r w:rsidRPr="00BC3947">
              <w:rPr>
                <w:lang w:val="ro-MO"/>
              </w:rPr>
              <w:t>- la fondurile asigurărilor obligatorii de asistenţă medicală (total) încasările au crescut cu 19,1%, comparativ cu perioada similară a anului precedent, şi au constituit 2 765 989,1 mii lei   pentru anul 2015 faţă de 2 321 998,5  mii lei pentru anul 2014.</w:t>
            </w:r>
          </w:p>
          <w:p w:rsidR="005755A6" w:rsidRPr="0087426E" w:rsidRDefault="005755A6" w:rsidP="00BC3947">
            <w:pPr>
              <w:pStyle w:val="NormalWeb"/>
              <w:spacing w:before="0" w:beforeAutospacing="0" w:after="0" w:afterAutospacing="0"/>
              <w:ind w:firstLine="317"/>
              <w:jc w:val="both"/>
            </w:pPr>
            <w:r w:rsidRPr="00BC3947">
              <w:rPr>
                <w:lang w:val="ro-MO"/>
              </w:rPr>
              <w:t xml:space="preserve">Pe pagina web </w:t>
            </w:r>
            <w:proofErr w:type="spellStart"/>
            <w:r w:rsidRPr="00BC3947">
              <w:rPr>
                <w:lang w:val="ro-MO"/>
              </w:rPr>
              <w:t>fisc.md</w:t>
            </w:r>
            <w:proofErr w:type="spellEnd"/>
            <w:r w:rsidRPr="00BC3947">
              <w:rPr>
                <w:lang w:val="ro-MO"/>
              </w:rPr>
              <w:t xml:space="preserve">, la compartimentul - </w:t>
            </w:r>
            <w:r w:rsidRPr="00BC3947">
              <w:rPr>
                <w:lang w:val="ro-MO"/>
              </w:rPr>
              <w:lastRenderedPageBreak/>
              <w:t>rapoarte și informații este plasat Raportul general a grupurilor multidisciplinare pentru anul 2015.</w:t>
            </w:r>
          </w:p>
        </w:tc>
      </w:tr>
      <w:tr w:rsidR="00E030C1" w:rsidRPr="0087426E" w:rsidTr="00507289">
        <w:tc>
          <w:tcPr>
            <w:tcW w:w="806" w:type="dxa"/>
          </w:tcPr>
          <w:p w:rsidR="00E030C1" w:rsidRPr="0087426E" w:rsidRDefault="00E030C1" w:rsidP="00E40040">
            <w:pPr>
              <w:jc w:val="center"/>
              <w:rPr>
                <w:lang w:val="ro-RO"/>
              </w:rPr>
            </w:pPr>
          </w:p>
        </w:tc>
        <w:tc>
          <w:tcPr>
            <w:tcW w:w="2421" w:type="dxa"/>
          </w:tcPr>
          <w:p w:rsidR="00E030C1" w:rsidRPr="0087426E" w:rsidRDefault="00E030C1" w:rsidP="00334CAE">
            <w:pPr>
              <w:rPr>
                <w:sz w:val="24"/>
                <w:szCs w:val="24"/>
                <w:lang w:val="ro-RO" w:eastAsia="ro-RO"/>
              </w:rPr>
            </w:pPr>
          </w:p>
        </w:tc>
        <w:tc>
          <w:tcPr>
            <w:tcW w:w="4678" w:type="dxa"/>
          </w:tcPr>
          <w:p w:rsidR="00E030C1" w:rsidRPr="0087426E" w:rsidRDefault="00E030C1" w:rsidP="00E030C1">
            <w:pPr>
              <w:rPr>
                <w:sz w:val="24"/>
                <w:szCs w:val="24"/>
                <w:lang w:val="ro-RO" w:eastAsia="ro-RO"/>
              </w:rPr>
            </w:pPr>
            <w:r w:rsidRPr="0087426E">
              <w:rPr>
                <w:sz w:val="24"/>
                <w:szCs w:val="24"/>
                <w:lang w:val="ro-RO" w:eastAsia="ro-RO"/>
              </w:rPr>
              <w:t xml:space="preserve">5.2. Analiza permanentă a mărimii salariilor achitate legal de către patroni, depistarea agenţilor economici care achită salarii net inferioare faţă de cele real constituite pe piaţa muncii şi orientarea eforturilor organelor de control pentru a documenta eventualele scheme folosite de aceşti agenţi economici pentru </w:t>
            </w:r>
            <w:r w:rsidR="006C1F04">
              <w:rPr>
                <w:sz w:val="24"/>
                <w:szCs w:val="24"/>
                <w:lang w:val="ro-RO" w:eastAsia="ro-RO"/>
              </w:rPr>
              <w:t xml:space="preserve"> </w:t>
            </w:r>
            <w:proofErr w:type="spellStart"/>
            <w:r w:rsidRPr="0087426E">
              <w:rPr>
                <w:sz w:val="24"/>
                <w:szCs w:val="24"/>
                <w:lang w:val="ro-RO" w:eastAsia="ro-RO"/>
              </w:rPr>
              <w:t>nereflectarea</w:t>
            </w:r>
            <w:proofErr w:type="spellEnd"/>
            <w:r w:rsidRPr="0087426E">
              <w:rPr>
                <w:sz w:val="24"/>
                <w:szCs w:val="24"/>
                <w:lang w:val="ro-RO" w:eastAsia="ro-RO"/>
              </w:rPr>
              <w:t xml:space="preserve"> deplină a salariilor în evidenţa contabilă</w:t>
            </w:r>
          </w:p>
        </w:tc>
        <w:tc>
          <w:tcPr>
            <w:tcW w:w="1417" w:type="dxa"/>
          </w:tcPr>
          <w:p w:rsidR="00E030C1" w:rsidRPr="0087426E" w:rsidRDefault="001F4C54" w:rsidP="00E40040">
            <w:pPr>
              <w:jc w:val="center"/>
              <w:rPr>
                <w:sz w:val="24"/>
                <w:szCs w:val="24"/>
                <w:lang w:val="ro-RO"/>
              </w:rPr>
            </w:pPr>
            <w:r w:rsidRPr="0087426E">
              <w:rPr>
                <w:sz w:val="24"/>
                <w:szCs w:val="24"/>
                <w:lang w:val="ro-RO"/>
              </w:rPr>
              <w:t>Permanent</w:t>
            </w:r>
          </w:p>
        </w:tc>
        <w:tc>
          <w:tcPr>
            <w:tcW w:w="1701" w:type="dxa"/>
          </w:tcPr>
          <w:p w:rsidR="00E030C1" w:rsidRPr="0087426E" w:rsidRDefault="001F4C54" w:rsidP="0039739C">
            <w:pPr>
              <w:jc w:val="center"/>
              <w:rPr>
                <w:sz w:val="24"/>
                <w:szCs w:val="24"/>
                <w:lang w:val="ro-RO" w:eastAsia="ro-RO"/>
              </w:rPr>
            </w:pPr>
            <w:r w:rsidRPr="0087426E">
              <w:rPr>
                <w:sz w:val="24"/>
                <w:szCs w:val="24"/>
                <w:lang w:val="ro-RO" w:eastAsia="ro-RO"/>
              </w:rPr>
              <w:t>M</w:t>
            </w:r>
            <w:r w:rsidR="0039739C">
              <w:rPr>
                <w:sz w:val="24"/>
                <w:szCs w:val="24"/>
                <w:lang w:val="ro-RO" w:eastAsia="ro-RO"/>
              </w:rPr>
              <w:t>MPSF</w:t>
            </w:r>
            <w:r w:rsidRPr="0087426E">
              <w:rPr>
                <w:sz w:val="24"/>
                <w:szCs w:val="24"/>
                <w:lang w:val="ro-RO" w:eastAsia="ro-RO"/>
              </w:rPr>
              <w:t>, Inspectoratul de Stat al Muncii, Inspectoratul Fiscal Principal de Stat, Ministerul Afacerilor Interne</w:t>
            </w:r>
          </w:p>
        </w:tc>
        <w:tc>
          <w:tcPr>
            <w:tcW w:w="4755" w:type="dxa"/>
          </w:tcPr>
          <w:p w:rsidR="00E030C1" w:rsidRPr="00BC3947" w:rsidRDefault="00675286" w:rsidP="00BC3947">
            <w:pPr>
              <w:ind w:firstLine="317"/>
              <w:jc w:val="both"/>
              <w:rPr>
                <w:rFonts w:eastAsia="Calibri"/>
                <w:sz w:val="24"/>
                <w:szCs w:val="24"/>
                <w:lang w:val="ro-RO"/>
              </w:rPr>
            </w:pPr>
            <w:r w:rsidRPr="0087426E">
              <w:rPr>
                <w:rFonts w:eastAsia="Calibri"/>
                <w:sz w:val="24"/>
                <w:szCs w:val="24"/>
                <w:lang w:val="ro-RO"/>
              </w:rPr>
              <w:t>Analiza permanentă a mărimii salariilor achitate legal de către patroni, depistarea agenților economici care achită salarii net inferioare față de cele real constituite pe piața muncii, se efectuează în baza informației furnizate de Biroul Național de Statistică. Astfel, în anul 2015 (situația la 01.12.2015) au fost selectate 309 unități economice cu efectivul de personal de 3284 salariați, care achită salariul mai mic decât cel garantat de stat. Agenții economici, care achită salarii suspect de mici, vor fi incluși în Graficul controalelor planificate pentru monitorizarea ulterioară</w:t>
            </w:r>
            <w:r w:rsidR="00BC3947">
              <w:rPr>
                <w:rFonts w:eastAsia="Calibri"/>
                <w:sz w:val="24"/>
                <w:szCs w:val="24"/>
                <w:lang w:val="ro-RO"/>
              </w:rPr>
              <w:t>.</w:t>
            </w:r>
          </w:p>
        </w:tc>
      </w:tr>
      <w:tr w:rsidR="00E030C1" w:rsidRPr="0087426E" w:rsidTr="00507289">
        <w:tc>
          <w:tcPr>
            <w:tcW w:w="806" w:type="dxa"/>
          </w:tcPr>
          <w:p w:rsidR="00E030C1" w:rsidRPr="0087426E" w:rsidRDefault="00E030C1" w:rsidP="00E40040">
            <w:pPr>
              <w:jc w:val="center"/>
              <w:rPr>
                <w:lang w:val="ro-RO"/>
              </w:rPr>
            </w:pPr>
          </w:p>
        </w:tc>
        <w:tc>
          <w:tcPr>
            <w:tcW w:w="2421" w:type="dxa"/>
          </w:tcPr>
          <w:p w:rsidR="00E030C1" w:rsidRPr="0087426E" w:rsidRDefault="00E030C1" w:rsidP="00334CAE">
            <w:pPr>
              <w:rPr>
                <w:sz w:val="24"/>
                <w:szCs w:val="24"/>
                <w:lang w:val="ro-RO" w:eastAsia="ro-RO"/>
              </w:rPr>
            </w:pPr>
          </w:p>
        </w:tc>
        <w:tc>
          <w:tcPr>
            <w:tcW w:w="4678" w:type="dxa"/>
          </w:tcPr>
          <w:p w:rsidR="00E030C1" w:rsidRPr="0087426E" w:rsidRDefault="001F4C54" w:rsidP="001F4C54">
            <w:pPr>
              <w:rPr>
                <w:sz w:val="24"/>
                <w:szCs w:val="24"/>
                <w:lang w:val="ro-RO" w:eastAsia="ro-RO"/>
              </w:rPr>
            </w:pPr>
            <w:r w:rsidRPr="0087426E">
              <w:rPr>
                <w:sz w:val="24"/>
                <w:szCs w:val="24"/>
                <w:lang w:val="ro-RO" w:eastAsia="ro-RO"/>
              </w:rPr>
              <w:t>5.3. Examinarea cu regularitate în cadrul Comisiei Naţionale de Negocieri Colective a chestiunilor ce ţin de economia informală şi a cazurilor concrete de practicare a contabilităţii duble şi de plată a salariilor “în plic”</w:t>
            </w:r>
          </w:p>
        </w:tc>
        <w:tc>
          <w:tcPr>
            <w:tcW w:w="1417" w:type="dxa"/>
          </w:tcPr>
          <w:p w:rsidR="00E030C1" w:rsidRPr="0087426E" w:rsidRDefault="001F4C54" w:rsidP="00E40040">
            <w:pPr>
              <w:jc w:val="center"/>
              <w:rPr>
                <w:sz w:val="24"/>
                <w:szCs w:val="24"/>
                <w:lang w:val="ro-RO"/>
              </w:rPr>
            </w:pPr>
            <w:r w:rsidRPr="0087426E">
              <w:rPr>
                <w:sz w:val="24"/>
                <w:szCs w:val="24"/>
                <w:lang w:val="ro-RO"/>
              </w:rPr>
              <w:t>Trimestrial</w:t>
            </w:r>
          </w:p>
        </w:tc>
        <w:tc>
          <w:tcPr>
            <w:tcW w:w="1701" w:type="dxa"/>
          </w:tcPr>
          <w:p w:rsidR="00E030C1" w:rsidRPr="0087426E" w:rsidRDefault="001F4C54" w:rsidP="0039739C">
            <w:pPr>
              <w:jc w:val="center"/>
              <w:rPr>
                <w:sz w:val="24"/>
                <w:szCs w:val="24"/>
                <w:lang w:val="ro-RO" w:eastAsia="ro-RO"/>
              </w:rPr>
            </w:pPr>
            <w:r w:rsidRPr="0087426E">
              <w:rPr>
                <w:sz w:val="24"/>
                <w:szCs w:val="24"/>
                <w:lang w:val="ro-RO" w:eastAsia="ro-RO"/>
              </w:rPr>
              <w:t>Comisia Naţională de Negocieri Colective, Inspectoratul de Stat al Muncii, C</w:t>
            </w:r>
            <w:r w:rsidR="0039739C">
              <w:rPr>
                <w:sz w:val="24"/>
                <w:szCs w:val="24"/>
                <w:lang w:val="ro-RO" w:eastAsia="ro-RO"/>
              </w:rPr>
              <w:t>NSM</w:t>
            </w:r>
            <w:r w:rsidRPr="0087426E">
              <w:rPr>
                <w:sz w:val="24"/>
                <w:szCs w:val="24"/>
                <w:lang w:val="ro-RO" w:eastAsia="ro-RO"/>
              </w:rPr>
              <w:t>, C</w:t>
            </w:r>
            <w:r w:rsidR="0039739C">
              <w:rPr>
                <w:sz w:val="24"/>
                <w:szCs w:val="24"/>
                <w:lang w:val="ro-RO" w:eastAsia="ro-RO"/>
              </w:rPr>
              <w:t>NPM</w:t>
            </w:r>
          </w:p>
        </w:tc>
        <w:tc>
          <w:tcPr>
            <w:tcW w:w="4755" w:type="dxa"/>
          </w:tcPr>
          <w:p w:rsidR="00E030C1" w:rsidRPr="0087426E" w:rsidRDefault="00DE0363" w:rsidP="00BC3947">
            <w:pPr>
              <w:ind w:firstLine="317"/>
              <w:jc w:val="both"/>
              <w:rPr>
                <w:sz w:val="24"/>
                <w:szCs w:val="24"/>
                <w:lang w:val="ro-RO"/>
              </w:rPr>
            </w:pPr>
            <w:r w:rsidRPr="0087426E">
              <w:rPr>
                <w:sz w:val="24"/>
                <w:szCs w:val="24"/>
                <w:lang w:val="ro-RO"/>
              </w:rPr>
              <w:t>Mersul îndeplinirii Planului a fost examinat în cadrul ședinței Comisiei Naționale pentru Consultări și Negocieri Colective din 4 iunie 2015.</w:t>
            </w:r>
            <w:bookmarkStart w:id="0" w:name="_GoBack"/>
            <w:bookmarkEnd w:id="0"/>
          </w:p>
        </w:tc>
      </w:tr>
      <w:tr w:rsidR="001F4C54" w:rsidRPr="0087426E" w:rsidTr="00507289">
        <w:tc>
          <w:tcPr>
            <w:tcW w:w="806" w:type="dxa"/>
          </w:tcPr>
          <w:p w:rsidR="001F4C54" w:rsidRPr="0087426E" w:rsidRDefault="001F4C54" w:rsidP="00E40040">
            <w:pPr>
              <w:jc w:val="center"/>
              <w:rPr>
                <w:lang w:val="ro-RO"/>
              </w:rPr>
            </w:pPr>
          </w:p>
        </w:tc>
        <w:tc>
          <w:tcPr>
            <w:tcW w:w="2421" w:type="dxa"/>
          </w:tcPr>
          <w:p w:rsidR="001F4C54" w:rsidRPr="0087426E" w:rsidRDefault="001F4C54" w:rsidP="00334CAE">
            <w:pPr>
              <w:rPr>
                <w:sz w:val="24"/>
                <w:szCs w:val="24"/>
                <w:lang w:val="ro-RO" w:eastAsia="ro-RO"/>
              </w:rPr>
            </w:pPr>
          </w:p>
        </w:tc>
        <w:tc>
          <w:tcPr>
            <w:tcW w:w="4678" w:type="dxa"/>
          </w:tcPr>
          <w:p w:rsidR="001F4C54" w:rsidRPr="0087426E" w:rsidRDefault="0030563C" w:rsidP="0030563C">
            <w:pPr>
              <w:rPr>
                <w:sz w:val="24"/>
                <w:szCs w:val="24"/>
                <w:lang w:val="ro-RO" w:eastAsia="ro-RO"/>
              </w:rPr>
            </w:pPr>
            <w:r w:rsidRPr="0087426E">
              <w:rPr>
                <w:sz w:val="24"/>
                <w:szCs w:val="24"/>
                <w:lang w:val="ro-RO" w:eastAsia="ro-RO"/>
              </w:rPr>
              <w:t>5.5. Realizarea de către Biroul Naţional de Statistică a sondajului bianual privind fenomenele achitării salariilor “în plic” şi “muncii la negru”</w:t>
            </w:r>
          </w:p>
        </w:tc>
        <w:tc>
          <w:tcPr>
            <w:tcW w:w="1417" w:type="dxa"/>
          </w:tcPr>
          <w:p w:rsidR="001F4C54" w:rsidRPr="0087426E" w:rsidRDefault="0030563C" w:rsidP="00E40040">
            <w:pPr>
              <w:jc w:val="center"/>
              <w:rPr>
                <w:sz w:val="24"/>
                <w:szCs w:val="24"/>
                <w:lang w:val="ro-RO"/>
              </w:rPr>
            </w:pPr>
            <w:r w:rsidRPr="0087426E">
              <w:rPr>
                <w:sz w:val="24"/>
                <w:szCs w:val="24"/>
                <w:lang w:val="ro-RO"/>
              </w:rPr>
              <w:t>O dată în doi ani</w:t>
            </w:r>
          </w:p>
        </w:tc>
        <w:tc>
          <w:tcPr>
            <w:tcW w:w="1701" w:type="dxa"/>
          </w:tcPr>
          <w:p w:rsidR="001F4C54" w:rsidRPr="0087426E" w:rsidRDefault="0030563C" w:rsidP="0030563C">
            <w:pPr>
              <w:jc w:val="center"/>
              <w:rPr>
                <w:sz w:val="24"/>
                <w:szCs w:val="24"/>
                <w:lang w:val="ro-RO" w:eastAsia="ro-RO"/>
              </w:rPr>
            </w:pPr>
            <w:r w:rsidRPr="0087426E">
              <w:rPr>
                <w:sz w:val="24"/>
                <w:szCs w:val="24"/>
                <w:lang w:val="ro-RO" w:eastAsia="ro-RO"/>
              </w:rPr>
              <w:t>Biroul Național de Statistică</w:t>
            </w:r>
          </w:p>
        </w:tc>
        <w:tc>
          <w:tcPr>
            <w:tcW w:w="4755" w:type="dxa"/>
          </w:tcPr>
          <w:p w:rsidR="001F4C54" w:rsidRDefault="006C1F04" w:rsidP="00BC3947">
            <w:pPr>
              <w:ind w:firstLine="317"/>
              <w:jc w:val="both"/>
              <w:rPr>
                <w:sz w:val="24"/>
                <w:szCs w:val="24"/>
                <w:lang w:val="ro-RO"/>
              </w:rPr>
            </w:pPr>
            <w:r>
              <w:rPr>
                <w:sz w:val="24"/>
                <w:szCs w:val="24"/>
                <w:lang w:val="ro-RO"/>
              </w:rPr>
              <w:t xml:space="preserve">  </w:t>
            </w:r>
            <w:r w:rsidR="00496256">
              <w:rPr>
                <w:sz w:val="24"/>
                <w:szCs w:val="24"/>
                <w:lang w:val="ro-RO"/>
              </w:rPr>
              <w:t>Acțiune realizată.</w:t>
            </w:r>
          </w:p>
          <w:p w:rsidR="00496256" w:rsidRPr="0087426E" w:rsidRDefault="00496256" w:rsidP="00BC3947">
            <w:pPr>
              <w:ind w:firstLine="317"/>
              <w:jc w:val="both"/>
              <w:rPr>
                <w:sz w:val="24"/>
                <w:szCs w:val="24"/>
                <w:lang w:val="ro-RO"/>
              </w:rPr>
            </w:pPr>
            <w:r>
              <w:rPr>
                <w:sz w:val="24"/>
                <w:szCs w:val="24"/>
                <w:lang w:val="ro-RO"/>
              </w:rPr>
              <w:t xml:space="preserve">Informația privind „munca la negru” și </w:t>
            </w:r>
            <w:proofErr w:type="spellStart"/>
            <w:r>
              <w:rPr>
                <w:sz w:val="24"/>
                <w:szCs w:val="24"/>
                <w:lang w:val="ro-RO"/>
              </w:rPr>
              <w:t>răspîndirea</w:t>
            </w:r>
            <w:proofErr w:type="spellEnd"/>
            <w:r>
              <w:rPr>
                <w:sz w:val="24"/>
                <w:szCs w:val="24"/>
                <w:lang w:val="ro-RO"/>
              </w:rPr>
              <w:t xml:space="preserve"> fenomenului de primire a „salariilor în plicuri” au fost colectate în cadrul Anchetei forței de muncă și va fi diseminată în aprilie 2016 în cadrul notei informative anuale a BNS „Forța de muncă în RM. Ocuparea și șomajul în anul 2015”.</w:t>
            </w:r>
          </w:p>
        </w:tc>
      </w:tr>
      <w:tr w:rsidR="00E030C1" w:rsidRPr="0087426E" w:rsidTr="00507289">
        <w:tc>
          <w:tcPr>
            <w:tcW w:w="806" w:type="dxa"/>
          </w:tcPr>
          <w:p w:rsidR="00E030C1" w:rsidRPr="0087426E" w:rsidRDefault="00E030C1" w:rsidP="00E40040">
            <w:pPr>
              <w:jc w:val="center"/>
              <w:rPr>
                <w:lang w:val="ro-RO"/>
              </w:rPr>
            </w:pPr>
          </w:p>
        </w:tc>
        <w:tc>
          <w:tcPr>
            <w:tcW w:w="2421" w:type="dxa"/>
          </w:tcPr>
          <w:p w:rsidR="00E030C1" w:rsidRPr="0087426E" w:rsidRDefault="00E030C1" w:rsidP="00334CAE">
            <w:pPr>
              <w:rPr>
                <w:sz w:val="24"/>
                <w:szCs w:val="24"/>
                <w:lang w:val="ro-RO" w:eastAsia="ro-RO"/>
              </w:rPr>
            </w:pPr>
          </w:p>
        </w:tc>
        <w:tc>
          <w:tcPr>
            <w:tcW w:w="4678" w:type="dxa"/>
          </w:tcPr>
          <w:p w:rsidR="00E030C1" w:rsidRPr="0087426E" w:rsidRDefault="0030563C" w:rsidP="0030563C">
            <w:pPr>
              <w:rPr>
                <w:sz w:val="24"/>
                <w:szCs w:val="24"/>
                <w:lang w:val="ro-RO" w:eastAsia="ro-RO"/>
              </w:rPr>
            </w:pPr>
            <w:r w:rsidRPr="0087426E">
              <w:rPr>
                <w:sz w:val="24"/>
                <w:szCs w:val="24"/>
                <w:lang w:val="ro-RO" w:eastAsia="ro-RO"/>
              </w:rPr>
              <w:t xml:space="preserve">5.6. Perfecţionarea cadrului de reglementare a activităţilor de inspecţie a muncii şi conformarea acestuia la prevederile </w:t>
            </w:r>
            <w:r w:rsidRPr="0087426E">
              <w:rPr>
                <w:sz w:val="24"/>
                <w:szCs w:val="24"/>
                <w:lang w:val="ro-RO" w:eastAsia="ro-RO"/>
              </w:rPr>
              <w:lastRenderedPageBreak/>
              <w:t>convenţiilor Organizaţiei Internaţionale a Muncii, ratificate de Parlament</w:t>
            </w:r>
          </w:p>
        </w:tc>
        <w:tc>
          <w:tcPr>
            <w:tcW w:w="1417" w:type="dxa"/>
          </w:tcPr>
          <w:p w:rsidR="00E030C1" w:rsidRPr="0087426E" w:rsidRDefault="0030563C" w:rsidP="00E40040">
            <w:pPr>
              <w:jc w:val="center"/>
              <w:rPr>
                <w:sz w:val="24"/>
                <w:szCs w:val="24"/>
                <w:lang w:val="ro-RO"/>
              </w:rPr>
            </w:pPr>
            <w:r w:rsidRPr="0087426E">
              <w:rPr>
                <w:sz w:val="24"/>
                <w:szCs w:val="24"/>
                <w:lang w:val="ro-RO"/>
              </w:rPr>
              <w:lastRenderedPageBreak/>
              <w:t>2015</w:t>
            </w:r>
          </w:p>
        </w:tc>
        <w:tc>
          <w:tcPr>
            <w:tcW w:w="1701" w:type="dxa"/>
          </w:tcPr>
          <w:p w:rsidR="00E030C1" w:rsidRPr="0087426E" w:rsidRDefault="0030563C" w:rsidP="0030563C">
            <w:pPr>
              <w:jc w:val="center"/>
              <w:rPr>
                <w:sz w:val="24"/>
                <w:szCs w:val="24"/>
                <w:lang w:val="ro-RO" w:eastAsia="ro-RO"/>
              </w:rPr>
            </w:pPr>
            <w:r w:rsidRPr="0087426E">
              <w:rPr>
                <w:sz w:val="24"/>
                <w:szCs w:val="24"/>
                <w:lang w:val="ro-RO" w:eastAsia="ro-RO"/>
              </w:rPr>
              <w:t xml:space="preserve">Ministerul Muncii, Protecţiei </w:t>
            </w:r>
            <w:r w:rsidRPr="0087426E">
              <w:rPr>
                <w:sz w:val="24"/>
                <w:szCs w:val="24"/>
                <w:lang w:val="ro-RO" w:eastAsia="ro-RO"/>
              </w:rPr>
              <w:lastRenderedPageBreak/>
              <w:t>Sociale şi Familiei, Ministerul Economiei, Inspectoratul de Stat al Muncii</w:t>
            </w:r>
          </w:p>
        </w:tc>
        <w:tc>
          <w:tcPr>
            <w:tcW w:w="4755" w:type="dxa"/>
          </w:tcPr>
          <w:p w:rsidR="00E030C1" w:rsidRDefault="006C1F04" w:rsidP="00BC3947">
            <w:pPr>
              <w:ind w:firstLine="317"/>
              <w:jc w:val="both"/>
              <w:rPr>
                <w:sz w:val="24"/>
                <w:szCs w:val="24"/>
                <w:lang w:val="ro-RO"/>
              </w:rPr>
            </w:pPr>
            <w:r>
              <w:rPr>
                <w:sz w:val="24"/>
                <w:szCs w:val="24"/>
                <w:lang w:val="ro-RO"/>
              </w:rPr>
              <w:lastRenderedPageBreak/>
              <w:t xml:space="preserve">   </w:t>
            </w:r>
            <w:r w:rsidR="004B6935">
              <w:rPr>
                <w:sz w:val="24"/>
                <w:szCs w:val="24"/>
                <w:lang w:val="ro-RO"/>
              </w:rPr>
              <w:t xml:space="preserve">Fenomenul folosirii „muncii la negru” și achitării salariilor „în plic”, are efecte negative și reprezintă cauze care afectează semnificativ </w:t>
            </w:r>
            <w:r w:rsidR="004B6935">
              <w:rPr>
                <w:sz w:val="24"/>
                <w:szCs w:val="24"/>
                <w:lang w:val="ro-RO"/>
              </w:rPr>
              <w:lastRenderedPageBreak/>
              <w:t>sectorul economic.</w:t>
            </w:r>
          </w:p>
          <w:p w:rsidR="004B6935" w:rsidRDefault="004B6935" w:rsidP="00BC3947">
            <w:pPr>
              <w:ind w:firstLine="317"/>
              <w:jc w:val="both"/>
              <w:rPr>
                <w:sz w:val="24"/>
                <w:szCs w:val="24"/>
                <w:lang w:val="ro-RO"/>
              </w:rPr>
            </w:pPr>
            <w:r>
              <w:rPr>
                <w:sz w:val="24"/>
                <w:szCs w:val="24"/>
                <w:lang w:val="ro-RO"/>
              </w:rPr>
              <w:t xml:space="preserve">   Întru combaterea acestui flagel, Ministerul Economiei a promovat politici privind crearea unui climat favorabil activității de </w:t>
            </w:r>
            <w:proofErr w:type="spellStart"/>
            <w:r>
              <w:rPr>
                <w:sz w:val="24"/>
                <w:szCs w:val="24"/>
                <w:lang w:val="ro-RO"/>
              </w:rPr>
              <w:t>antreprenoriat</w:t>
            </w:r>
            <w:proofErr w:type="spellEnd"/>
            <w:r>
              <w:rPr>
                <w:sz w:val="24"/>
                <w:szCs w:val="24"/>
                <w:lang w:val="ro-RO"/>
              </w:rPr>
              <w:t>, inclusiv prin continuarea reformei regulatorii, precum și implementarea programelor de suport a întreprinderilor mici și mijlocii, care vor contribui la micșorarea poverii asupra agenților economici și stimularea forței de muncă să activeze în sectorul formal.</w:t>
            </w:r>
          </w:p>
          <w:p w:rsidR="004B6935" w:rsidRDefault="004B6935" w:rsidP="00BC3947">
            <w:pPr>
              <w:ind w:firstLine="317"/>
              <w:jc w:val="both"/>
              <w:rPr>
                <w:sz w:val="24"/>
                <w:szCs w:val="24"/>
                <w:lang w:val="ro-RO"/>
              </w:rPr>
            </w:pPr>
            <w:r>
              <w:rPr>
                <w:sz w:val="24"/>
                <w:szCs w:val="24"/>
                <w:lang w:val="ro-RO"/>
              </w:rPr>
              <w:t xml:space="preserve">   Astfel, a fost elaborat proiectul </w:t>
            </w:r>
            <w:proofErr w:type="spellStart"/>
            <w:r>
              <w:rPr>
                <w:sz w:val="24"/>
                <w:szCs w:val="24"/>
                <w:lang w:val="ro-RO"/>
              </w:rPr>
              <w:t>hotărîrii</w:t>
            </w:r>
            <w:proofErr w:type="spellEnd"/>
            <w:r>
              <w:rPr>
                <w:sz w:val="24"/>
                <w:szCs w:val="24"/>
                <w:lang w:val="ro-RO"/>
              </w:rPr>
              <w:t xml:space="preserve"> Guvernului cu privire la aprobarea Metodologiei de estimare a costurilor administrative prin aplicarea Modelului Costului Standard, care urmează a fi transmis spre aprobare Guvernului.</w:t>
            </w:r>
            <w:r w:rsidR="009775DD">
              <w:rPr>
                <w:sz w:val="24"/>
                <w:szCs w:val="24"/>
                <w:lang w:val="ro-RO"/>
              </w:rPr>
              <w:t xml:space="preserve"> Metodologia dată este un instrument de estimare a costurilor administrative suportate de către agenții economici în vederea respectării reglementărilor de stat și are scopul de a identifica și simplifica acele prevederi ale legislației care duc la costuri administrative majore.</w:t>
            </w:r>
          </w:p>
          <w:p w:rsidR="009775DD" w:rsidRDefault="009775DD" w:rsidP="00BC3947">
            <w:pPr>
              <w:ind w:firstLine="317"/>
              <w:jc w:val="both"/>
              <w:rPr>
                <w:sz w:val="24"/>
                <w:szCs w:val="24"/>
                <w:lang w:val="ro-RO"/>
              </w:rPr>
            </w:pPr>
            <w:r>
              <w:rPr>
                <w:sz w:val="24"/>
                <w:szCs w:val="24"/>
                <w:lang w:val="ro-RO"/>
              </w:rPr>
              <w:t xml:space="preserve">   În contextul necesității limitării gradului și modalități de intervenție abuzivă și nefondată a statului în activitatea mediului de afaceri a fost elaborat proiectul de lege pentru modificarea și completarea Legii privind controlul de stat asupra activității de întreprinzător nr. 131 din 08.06.2012</w:t>
            </w:r>
            <w:r w:rsidR="00073E9F">
              <w:rPr>
                <w:sz w:val="24"/>
                <w:szCs w:val="24"/>
                <w:lang w:val="ro-RO"/>
              </w:rPr>
              <w:t>. La moment proiectul este expediat spre avizare.</w:t>
            </w:r>
          </w:p>
          <w:p w:rsidR="00073E9F" w:rsidRDefault="00073E9F" w:rsidP="00BC3947">
            <w:pPr>
              <w:ind w:firstLine="317"/>
              <w:jc w:val="both"/>
              <w:rPr>
                <w:sz w:val="24"/>
                <w:szCs w:val="24"/>
                <w:lang w:val="ro-RO"/>
              </w:rPr>
            </w:pPr>
            <w:r>
              <w:rPr>
                <w:sz w:val="24"/>
                <w:szCs w:val="24"/>
                <w:lang w:val="ro-RO"/>
              </w:rPr>
              <w:t xml:space="preserve">   Totodată, CNSM la proiectul de lege menționat a </w:t>
            </w:r>
            <w:r w:rsidR="00140E8A">
              <w:rPr>
                <w:sz w:val="24"/>
                <w:szCs w:val="24"/>
                <w:lang w:val="ro-RO"/>
              </w:rPr>
              <w:t>înaintat demers în vederea excluderii</w:t>
            </w:r>
            <w:r>
              <w:rPr>
                <w:sz w:val="24"/>
                <w:szCs w:val="24"/>
                <w:lang w:val="ro-RO"/>
              </w:rPr>
              <w:t xml:space="preserve"> Inspectoratul de Stat al Muncii </w:t>
            </w:r>
            <w:r w:rsidR="00140E8A">
              <w:rPr>
                <w:sz w:val="24"/>
                <w:szCs w:val="24"/>
                <w:lang w:val="ro-RO"/>
              </w:rPr>
              <w:t xml:space="preserve"> de sub incidența acesteia, astfel </w:t>
            </w:r>
            <w:proofErr w:type="spellStart"/>
            <w:r w:rsidR="00140E8A">
              <w:rPr>
                <w:sz w:val="24"/>
                <w:szCs w:val="24"/>
                <w:lang w:val="ro-RO"/>
              </w:rPr>
              <w:t>încît</w:t>
            </w:r>
            <w:proofErr w:type="spellEnd"/>
            <w:r w:rsidR="00140E8A">
              <w:rPr>
                <w:sz w:val="24"/>
                <w:szCs w:val="24"/>
                <w:lang w:val="ro-RO"/>
              </w:rPr>
              <w:t xml:space="preserve"> să fie acordată acesteia posibilitatea  de a realiza </w:t>
            </w:r>
            <w:r w:rsidR="00140E8A">
              <w:rPr>
                <w:sz w:val="24"/>
                <w:szCs w:val="24"/>
                <w:lang w:val="ro-RO"/>
              </w:rPr>
              <w:lastRenderedPageBreak/>
              <w:t>controale inopinate pentru a depista cazurile de muncă nedeclarată.</w:t>
            </w:r>
          </w:p>
          <w:p w:rsidR="00140E8A" w:rsidRPr="0087426E" w:rsidRDefault="00140E8A" w:rsidP="00BC3947">
            <w:pPr>
              <w:ind w:firstLine="317"/>
              <w:jc w:val="both"/>
              <w:rPr>
                <w:sz w:val="24"/>
                <w:szCs w:val="24"/>
                <w:lang w:val="ro-RO"/>
              </w:rPr>
            </w:pPr>
            <w:r>
              <w:rPr>
                <w:sz w:val="24"/>
                <w:szCs w:val="24"/>
                <w:lang w:val="ro-RO"/>
              </w:rPr>
              <w:t xml:space="preserve">   Acest demers nu a fost luat în considerație la elaborarea proiectului vizat.</w:t>
            </w:r>
          </w:p>
        </w:tc>
      </w:tr>
      <w:tr w:rsidR="0030563C" w:rsidRPr="0087426E" w:rsidTr="00507289">
        <w:tc>
          <w:tcPr>
            <w:tcW w:w="806" w:type="dxa"/>
          </w:tcPr>
          <w:p w:rsidR="0030563C" w:rsidRPr="0087426E" w:rsidRDefault="0030563C" w:rsidP="00E40040">
            <w:pPr>
              <w:jc w:val="center"/>
              <w:rPr>
                <w:lang w:val="ro-RO"/>
              </w:rPr>
            </w:pPr>
          </w:p>
        </w:tc>
        <w:tc>
          <w:tcPr>
            <w:tcW w:w="2421" w:type="dxa"/>
          </w:tcPr>
          <w:p w:rsidR="0030563C" w:rsidRPr="0087426E" w:rsidRDefault="0030563C" w:rsidP="00334CAE">
            <w:pPr>
              <w:rPr>
                <w:sz w:val="24"/>
                <w:szCs w:val="24"/>
                <w:lang w:val="ro-RO" w:eastAsia="ro-RO"/>
              </w:rPr>
            </w:pPr>
          </w:p>
        </w:tc>
        <w:tc>
          <w:tcPr>
            <w:tcW w:w="4678" w:type="dxa"/>
          </w:tcPr>
          <w:p w:rsidR="0030563C" w:rsidRPr="0087426E" w:rsidRDefault="0030563C" w:rsidP="0030563C">
            <w:pPr>
              <w:rPr>
                <w:sz w:val="24"/>
                <w:szCs w:val="24"/>
                <w:lang w:val="ro-RO" w:eastAsia="ro-RO"/>
              </w:rPr>
            </w:pPr>
            <w:r w:rsidRPr="0087426E">
              <w:rPr>
                <w:sz w:val="24"/>
                <w:szCs w:val="24"/>
                <w:lang w:val="ro-RO" w:eastAsia="ro-RO"/>
              </w:rPr>
              <w:t>5.7. Dezvoltarea capacităţilor instituţionale, profesionale şi logistice ale Inspectoratului de Stat al Muncii</w:t>
            </w:r>
          </w:p>
        </w:tc>
        <w:tc>
          <w:tcPr>
            <w:tcW w:w="1417" w:type="dxa"/>
          </w:tcPr>
          <w:p w:rsidR="0030563C" w:rsidRPr="0087426E" w:rsidRDefault="0030563C" w:rsidP="00E40040">
            <w:pPr>
              <w:jc w:val="center"/>
              <w:rPr>
                <w:sz w:val="24"/>
                <w:szCs w:val="24"/>
                <w:lang w:val="ro-RO"/>
              </w:rPr>
            </w:pPr>
            <w:r w:rsidRPr="0087426E">
              <w:rPr>
                <w:sz w:val="24"/>
                <w:szCs w:val="24"/>
                <w:lang w:val="ro-RO"/>
              </w:rPr>
              <w:t>2015-2016</w:t>
            </w:r>
          </w:p>
        </w:tc>
        <w:tc>
          <w:tcPr>
            <w:tcW w:w="1701" w:type="dxa"/>
          </w:tcPr>
          <w:p w:rsidR="0030563C" w:rsidRPr="0087426E" w:rsidRDefault="0030563C" w:rsidP="0030563C">
            <w:pPr>
              <w:jc w:val="center"/>
              <w:rPr>
                <w:sz w:val="24"/>
                <w:szCs w:val="24"/>
                <w:lang w:val="ro-RO" w:eastAsia="ro-RO"/>
              </w:rPr>
            </w:pPr>
            <w:r w:rsidRPr="0087426E">
              <w:rPr>
                <w:sz w:val="24"/>
                <w:szCs w:val="24"/>
                <w:lang w:val="ro-RO" w:eastAsia="ro-RO"/>
              </w:rPr>
              <w:t>Inspectoratul de Stat al Muncii</w:t>
            </w:r>
          </w:p>
        </w:tc>
        <w:tc>
          <w:tcPr>
            <w:tcW w:w="4755" w:type="dxa"/>
          </w:tcPr>
          <w:p w:rsidR="00675286" w:rsidRPr="0087426E" w:rsidRDefault="00675286" w:rsidP="00BC3947">
            <w:pPr>
              <w:ind w:firstLine="317"/>
              <w:jc w:val="both"/>
              <w:rPr>
                <w:rFonts w:eastAsia="Calibri"/>
                <w:sz w:val="24"/>
                <w:szCs w:val="24"/>
                <w:lang w:val="ro-RO"/>
              </w:rPr>
            </w:pPr>
            <w:r w:rsidRPr="0087426E">
              <w:rPr>
                <w:rFonts w:eastAsia="Calibri"/>
                <w:sz w:val="24"/>
                <w:szCs w:val="24"/>
                <w:lang w:val="ro-RO"/>
              </w:rPr>
              <w:t>Dezvoltarea capacită</w:t>
            </w:r>
            <w:r w:rsidR="00140E8A">
              <w:rPr>
                <w:rFonts w:eastAsia="Calibri"/>
                <w:sz w:val="24"/>
                <w:szCs w:val="24"/>
                <w:lang w:val="ro-RO"/>
              </w:rPr>
              <w:t>ților instituți</w:t>
            </w:r>
            <w:r w:rsidRPr="0087426E">
              <w:rPr>
                <w:rFonts w:eastAsia="Calibri"/>
                <w:sz w:val="24"/>
                <w:szCs w:val="24"/>
                <w:lang w:val="ro-RO"/>
              </w:rPr>
              <w:t xml:space="preserve">onale, profesionale a fost asigurată prin desfășurarea pe parcursul anului 2015 a 6 seminare de instruire continuă a inspectorilor de muncă. </w:t>
            </w:r>
          </w:p>
          <w:p w:rsidR="0030563C" w:rsidRPr="0087426E" w:rsidRDefault="00675286" w:rsidP="0039739C">
            <w:pPr>
              <w:ind w:firstLine="317"/>
              <w:jc w:val="both"/>
              <w:rPr>
                <w:sz w:val="24"/>
                <w:szCs w:val="24"/>
                <w:lang w:val="ro-RO"/>
              </w:rPr>
            </w:pPr>
            <w:r w:rsidRPr="0087426E">
              <w:rPr>
                <w:sz w:val="24"/>
                <w:szCs w:val="24"/>
                <w:lang w:val="ro-RO"/>
              </w:rPr>
              <w:t>Gradul de operativitate a activităţilor de inspecţie depinde de posibilităţile inspectorilor de muncă de a se deplasa rapid la unităţile supuse controalelor sau la care s-au produs accidente de muncă. Dotarea tehnico-materială a inspectorilor de muncă se caracterizează ca insuficientă. Din cauza insuficienței surselor de finanțare a deficitului bugetar aprobat pe anul 2015, începând cu 07.07.2015 a fost sistată participarea la procedurile de achiziții publice de bunuri, servicii și lucrări.</w:t>
            </w:r>
          </w:p>
        </w:tc>
      </w:tr>
      <w:tr w:rsidR="0030563C" w:rsidRPr="0087426E" w:rsidTr="00507289">
        <w:tc>
          <w:tcPr>
            <w:tcW w:w="806" w:type="dxa"/>
          </w:tcPr>
          <w:p w:rsidR="0030563C" w:rsidRPr="0087426E" w:rsidRDefault="0030563C" w:rsidP="00E40040">
            <w:pPr>
              <w:jc w:val="center"/>
              <w:rPr>
                <w:lang w:val="ro-RO"/>
              </w:rPr>
            </w:pPr>
          </w:p>
        </w:tc>
        <w:tc>
          <w:tcPr>
            <w:tcW w:w="2421" w:type="dxa"/>
          </w:tcPr>
          <w:p w:rsidR="0030563C" w:rsidRPr="0087426E" w:rsidRDefault="0030563C" w:rsidP="00334CAE">
            <w:pPr>
              <w:rPr>
                <w:sz w:val="24"/>
                <w:szCs w:val="24"/>
                <w:lang w:val="ro-RO" w:eastAsia="ro-RO"/>
              </w:rPr>
            </w:pPr>
          </w:p>
        </w:tc>
        <w:tc>
          <w:tcPr>
            <w:tcW w:w="4678" w:type="dxa"/>
          </w:tcPr>
          <w:p w:rsidR="0030563C" w:rsidRPr="0087426E" w:rsidRDefault="0030563C" w:rsidP="0030563C">
            <w:pPr>
              <w:rPr>
                <w:sz w:val="24"/>
                <w:szCs w:val="24"/>
                <w:lang w:val="ro-RO" w:eastAsia="ro-RO"/>
              </w:rPr>
            </w:pPr>
            <w:r w:rsidRPr="0087426E">
              <w:rPr>
                <w:sz w:val="24"/>
                <w:szCs w:val="24"/>
                <w:lang w:val="ro-RO" w:eastAsia="ro-RO"/>
              </w:rPr>
              <w:t>5.8. Dezvoltarea şi consolidarea capacităţilor informative şi comunicative ale Inspectoratului de Stat al Muncii prin asigurarea accesului inspectorilor de muncă la diverse baze de date, relevante necesităţilor de activitate</w:t>
            </w:r>
          </w:p>
        </w:tc>
        <w:tc>
          <w:tcPr>
            <w:tcW w:w="1417" w:type="dxa"/>
          </w:tcPr>
          <w:p w:rsidR="0030563C" w:rsidRPr="0087426E" w:rsidRDefault="0030563C" w:rsidP="00E40040">
            <w:pPr>
              <w:jc w:val="center"/>
              <w:rPr>
                <w:sz w:val="24"/>
                <w:szCs w:val="24"/>
                <w:lang w:val="ro-RO"/>
              </w:rPr>
            </w:pPr>
            <w:r w:rsidRPr="0087426E">
              <w:rPr>
                <w:sz w:val="24"/>
                <w:szCs w:val="24"/>
                <w:lang w:val="ro-RO"/>
              </w:rPr>
              <w:t>2015-2016</w:t>
            </w:r>
          </w:p>
        </w:tc>
        <w:tc>
          <w:tcPr>
            <w:tcW w:w="1701" w:type="dxa"/>
          </w:tcPr>
          <w:p w:rsidR="0030563C" w:rsidRPr="0087426E" w:rsidRDefault="0030563C" w:rsidP="00140E8A">
            <w:pPr>
              <w:jc w:val="center"/>
              <w:rPr>
                <w:sz w:val="24"/>
                <w:szCs w:val="24"/>
                <w:lang w:val="ro-RO" w:eastAsia="ro-RO"/>
              </w:rPr>
            </w:pPr>
            <w:r w:rsidRPr="0087426E">
              <w:rPr>
                <w:sz w:val="24"/>
                <w:szCs w:val="24"/>
                <w:lang w:val="ro-RO" w:eastAsia="ro-RO"/>
              </w:rPr>
              <w:t>Inspectoratul de Stat al Muncii</w:t>
            </w:r>
          </w:p>
        </w:tc>
        <w:tc>
          <w:tcPr>
            <w:tcW w:w="4755" w:type="dxa"/>
          </w:tcPr>
          <w:p w:rsidR="0030563C" w:rsidRPr="0087426E" w:rsidRDefault="00675286" w:rsidP="00BC3947">
            <w:pPr>
              <w:ind w:firstLine="317"/>
              <w:jc w:val="both"/>
              <w:rPr>
                <w:sz w:val="24"/>
                <w:szCs w:val="24"/>
                <w:lang w:val="ro-RO"/>
              </w:rPr>
            </w:pPr>
            <w:r w:rsidRPr="0087426E">
              <w:rPr>
                <w:rFonts w:eastAsia="Calibri"/>
                <w:sz w:val="24"/>
                <w:szCs w:val="24"/>
                <w:lang w:val="ro-RO"/>
              </w:rPr>
              <w:t xml:space="preserve">Dezvoltarea și consolidarea capacităților informative și comunicative se caracterizează prin </w:t>
            </w:r>
            <w:r w:rsidRPr="0087426E">
              <w:rPr>
                <w:sz w:val="24"/>
                <w:szCs w:val="24"/>
                <w:lang w:val="ro-RO"/>
              </w:rPr>
              <w:t>testarea și implementarea în anul 2015 a Sistemului Informaţional Automatizat (SIA) de prelucrare a indicatorilor de activitate a Inspectoratului de Stat al Muncii. A fost elaborat şi integrat modulul „State de personal” în Sistemului Informaţional Automatizat al Inspectoratului</w:t>
            </w:r>
          </w:p>
        </w:tc>
      </w:tr>
      <w:tr w:rsidR="0030563C" w:rsidRPr="0087426E" w:rsidTr="00507289">
        <w:tc>
          <w:tcPr>
            <w:tcW w:w="806" w:type="dxa"/>
          </w:tcPr>
          <w:p w:rsidR="0030563C" w:rsidRPr="0087426E" w:rsidRDefault="00C723FC" w:rsidP="00E40040">
            <w:pPr>
              <w:jc w:val="center"/>
              <w:rPr>
                <w:lang w:val="ro-RO"/>
              </w:rPr>
            </w:pPr>
            <w:r w:rsidRPr="0087426E">
              <w:rPr>
                <w:lang w:val="ro-RO"/>
              </w:rPr>
              <w:t>6.</w:t>
            </w:r>
          </w:p>
        </w:tc>
        <w:tc>
          <w:tcPr>
            <w:tcW w:w="2421" w:type="dxa"/>
          </w:tcPr>
          <w:p w:rsidR="0030563C" w:rsidRPr="0087426E" w:rsidRDefault="00C723FC" w:rsidP="00C723FC">
            <w:pPr>
              <w:rPr>
                <w:sz w:val="24"/>
                <w:szCs w:val="24"/>
                <w:lang w:val="ro-RO" w:eastAsia="ro-RO"/>
              </w:rPr>
            </w:pPr>
            <w:r w:rsidRPr="0087426E">
              <w:rPr>
                <w:sz w:val="24"/>
                <w:szCs w:val="24"/>
                <w:lang w:val="ro-RO" w:eastAsia="ro-RO"/>
              </w:rPr>
              <w:t>Antrenarea sindicatelor în activitatea de anihilare a “muncii la negru” şi a plăţii salariilor “în plic”</w:t>
            </w:r>
          </w:p>
        </w:tc>
        <w:tc>
          <w:tcPr>
            <w:tcW w:w="4678" w:type="dxa"/>
          </w:tcPr>
          <w:p w:rsidR="00C723FC" w:rsidRPr="0087426E" w:rsidRDefault="00C723FC" w:rsidP="00C723FC">
            <w:pPr>
              <w:rPr>
                <w:sz w:val="24"/>
                <w:szCs w:val="24"/>
                <w:lang w:val="ro-RO" w:eastAsia="ro-RO"/>
              </w:rPr>
            </w:pPr>
            <w:r w:rsidRPr="0087426E">
              <w:rPr>
                <w:sz w:val="24"/>
                <w:szCs w:val="24"/>
                <w:lang w:val="ro-RO" w:eastAsia="ro-RO"/>
              </w:rPr>
              <w:t>Acordarea consultaţiilor necesare lucrătorilor din economia informală în vederea protecţiei sociale, economice şi juridice</w:t>
            </w:r>
          </w:p>
          <w:p w:rsidR="0030563C" w:rsidRPr="0087426E" w:rsidRDefault="00C723FC" w:rsidP="00C723FC">
            <w:pPr>
              <w:rPr>
                <w:sz w:val="24"/>
                <w:szCs w:val="24"/>
                <w:lang w:val="ro-RO" w:eastAsia="ro-RO"/>
              </w:rPr>
            </w:pPr>
            <w:r w:rsidRPr="0087426E">
              <w:rPr>
                <w:rFonts w:ascii="Tahoma" w:hAnsi="Tahoma" w:cs="Tahoma"/>
                <w:sz w:val="18"/>
                <w:szCs w:val="18"/>
                <w:lang w:val="ro-RO" w:eastAsia="ro-RO"/>
              </w:rPr>
              <w:br/>
            </w:r>
          </w:p>
        </w:tc>
        <w:tc>
          <w:tcPr>
            <w:tcW w:w="1417" w:type="dxa"/>
          </w:tcPr>
          <w:p w:rsidR="0030563C" w:rsidRPr="0087426E" w:rsidRDefault="00C723FC" w:rsidP="00E40040">
            <w:pPr>
              <w:jc w:val="center"/>
              <w:rPr>
                <w:sz w:val="24"/>
                <w:szCs w:val="24"/>
                <w:lang w:val="ro-RO"/>
              </w:rPr>
            </w:pPr>
            <w:r w:rsidRPr="0087426E">
              <w:rPr>
                <w:sz w:val="24"/>
                <w:szCs w:val="24"/>
                <w:lang w:val="ro-RO"/>
              </w:rPr>
              <w:t>Permanent</w:t>
            </w:r>
          </w:p>
        </w:tc>
        <w:tc>
          <w:tcPr>
            <w:tcW w:w="1701" w:type="dxa"/>
          </w:tcPr>
          <w:p w:rsidR="0030563C" w:rsidRPr="0087426E" w:rsidRDefault="00C723FC" w:rsidP="00C723FC">
            <w:pPr>
              <w:rPr>
                <w:sz w:val="24"/>
                <w:szCs w:val="24"/>
                <w:lang w:val="ro-RO" w:eastAsia="ro-RO"/>
              </w:rPr>
            </w:pPr>
            <w:r w:rsidRPr="0087426E">
              <w:rPr>
                <w:sz w:val="24"/>
                <w:szCs w:val="24"/>
                <w:lang w:val="ro-RO" w:eastAsia="ro-RO"/>
              </w:rPr>
              <w:t xml:space="preserve">Confederaţia Naţională a Sindicatelor, sindicatele </w:t>
            </w:r>
            <w:proofErr w:type="spellStart"/>
            <w:r w:rsidRPr="0087426E">
              <w:rPr>
                <w:sz w:val="24"/>
                <w:szCs w:val="24"/>
                <w:lang w:val="ro-RO" w:eastAsia="ro-RO"/>
              </w:rPr>
              <w:t>ramurale</w:t>
            </w:r>
            <w:proofErr w:type="spellEnd"/>
          </w:p>
        </w:tc>
        <w:tc>
          <w:tcPr>
            <w:tcW w:w="4755" w:type="dxa"/>
          </w:tcPr>
          <w:p w:rsidR="0030563C" w:rsidRDefault="00140E8A" w:rsidP="00BC3947">
            <w:pPr>
              <w:ind w:firstLine="317"/>
              <w:jc w:val="both"/>
              <w:rPr>
                <w:sz w:val="24"/>
                <w:szCs w:val="24"/>
                <w:lang w:val="ro-RO"/>
              </w:rPr>
            </w:pPr>
            <w:r>
              <w:rPr>
                <w:sz w:val="24"/>
                <w:szCs w:val="24"/>
                <w:lang w:val="ro-RO"/>
              </w:rPr>
              <w:t xml:space="preserve">   CNSM a desfășurat mai multe activități de informare și sensibilizare a lucrătorilor în domeniul combaterii fenomenului „muncii la negru”.</w:t>
            </w:r>
          </w:p>
          <w:p w:rsidR="00140E8A" w:rsidRPr="0087426E" w:rsidRDefault="00140E8A" w:rsidP="00BC3947">
            <w:pPr>
              <w:ind w:firstLine="317"/>
              <w:jc w:val="both"/>
              <w:rPr>
                <w:sz w:val="24"/>
                <w:szCs w:val="24"/>
                <w:lang w:val="ro-RO"/>
              </w:rPr>
            </w:pPr>
            <w:r>
              <w:rPr>
                <w:sz w:val="24"/>
                <w:szCs w:val="24"/>
                <w:lang w:val="ro-RO"/>
              </w:rPr>
              <w:t xml:space="preserve">   Astfel, în perioada 8-10 octombrie 2015, în cadrul activităților dedicate Zilei mondiale a acțiunilor pentru o muncă decentă</w:t>
            </w:r>
            <w:r w:rsidR="00B46C13">
              <w:rPr>
                <w:sz w:val="24"/>
                <w:szCs w:val="24"/>
                <w:lang w:val="ro-RO"/>
              </w:rPr>
              <w:t xml:space="preserve"> , prin intermediul Consiliului de Tineret din cadrul CNSM, s-a desfășurat o campanie de </w:t>
            </w:r>
            <w:r w:rsidR="00B46C13">
              <w:rPr>
                <w:sz w:val="24"/>
                <w:szCs w:val="24"/>
                <w:lang w:val="ro-RO"/>
              </w:rPr>
              <w:lastRenderedPageBreak/>
              <w:t>informare „Stop îmbogățirii prin exploatarea salariaților” în 7 centre raionale al Republicii Moldova. Scopul campaniei a fost informarea și sensibilizarea populației despre aspectele negative și riscurile ce survin ca urmare a activității în condiții informale. În cadrul campaniei au fost distribuite peste 5000 de pliante cu tematica muncii „la negru” și acordate consultații la peste 300 de persoane.</w:t>
            </w:r>
          </w:p>
        </w:tc>
      </w:tr>
      <w:tr w:rsidR="0030563C" w:rsidRPr="0087426E" w:rsidTr="00507289">
        <w:tc>
          <w:tcPr>
            <w:tcW w:w="806" w:type="dxa"/>
          </w:tcPr>
          <w:p w:rsidR="0030563C" w:rsidRPr="0087426E" w:rsidRDefault="00C723FC" w:rsidP="00E40040">
            <w:pPr>
              <w:jc w:val="center"/>
              <w:rPr>
                <w:lang w:val="ro-RO"/>
              </w:rPr>
            </w:pPr>
            <w:r w:rsidRPr="0087426E">
              <w:rPr>
                <w:lang w:val="ro-RO"/>
              </w:rPr>
              <w:lastRenderedPageBreak/>
              <w:t>7.</w:t>
            </w:r>
          </w:p>
        </w:tc>
        <w:tc>
          <w:tcPr>
            <w:tcW w:w="2421" w:type="dxa"/>
          </w:tcPr>
          <w:p w:rsidR="0030563C" w:rsidRPr="0087426E" w:rsidRDefault="00C723FC" w:rsidP="00C723FC">
            <w:pPr>
              <w:rPr>
                <w:sz w:val="24"/>
                <w:szCs w:val="24"/>
                <w:lang w:val="ro-RO" w:eastAsia="ro-RO"/>
              </w:rPr>
            </w:pPr>
            <w:r w:rsidRPr="0087426E">
              <w:rPr>
                <w:sz w:val="24"/>
                <w:szCs w:val="24"/>
                <w:lang w:val="ro-RO" w:eastAsia="ro-RO"/>
              </w:rPr>
              <w:t>Promovarea politicilor de educaţie juridică a salariaţilor</w:t>
            </w:r>
          </w:p>
        </w:tc>
        <w:tc>
          <w:tcPr>
            <w:tcW w:w="4678" w:type="dxa"/>
          </w:tcPr>
          <w:p w:rsidR="0030563C" w:rsidRPr="0087426E" w:rsidRDefault="00C723FC" w:rsidP="00C723FC">
            <w:pPr>
              <w:rPr>
                <w:sz w:val="24"/>
                <w:szCs w:val="24"/>
                <w:lang w:val="ro-RO" w:eastAsia="ro-RO"/>
              </w:rPr>
            </w:pPr>
            <w:r w:rsidRPr="0087426E">
              <w:rPr>
                <w:sz w:val="24"/>
                <w:szCs w:val="24"/>
                <w:lang w:val="ro-RO" w:eastAsia="ro-RO"/>
              </w:rPr>
              <w:t>7.1. Organizarea campaniilor de mediatizare prin intermediul unor emisiuni TV şi radio şi al spoturilor publicitare privind consecinţele negative pentru salariaţi ale acceptării salariului neoficial (privarea de dreptul la asistenţă medicală, la o pensie decentă, la concediu etc.), precum şi a cazurilor de încălcare depistate la agenţii economici care practică “angajări la negru” şi plata salariilor “în plic” şi consecinţele financiare pentru aceasta</w:t>
            </w:r>
          </w:p>
        </w:tc>
        <w:tc>
          <w:tcPr>
            <w:tcW w:w="1417" w:type="dxa"/>
          </w:tcPr>
          <w:p w:rsidR="0030563C" w:rsidRPr="0087426E" w:rsidRDefault="00C723FC" w:rsidP="00E40040">
            <w:pPr>
              <w:jc w:val="center"/>
              <w:rPr>
                <w:sz w:val="24"/>
                <w:szCs w:val="24"/>
                <w:lang w:val="ro-RO"/>
              </w:rPr>
            </w:pPr>
            <w:r w:rsidRPr="0087426E">
              <w:rPr>
                <w:sz w:val="24"/>
                <w:szCs w:val="24"/>
                <w:lang w:val="ro-RO"/>
              </w:rPr>
              <w:t>Permanent</w:t>
            </w:r>
          </w:p>
        </w:tc>
        <w:tc>
          <w:tcPr>
            <w:tcW w:w="1701" w:type="dxa"/>
          </w:tcPr>
          <w:p w:rsidR="0030563C" w:rsidRPr="0087426E" w:rsidRDefault="00C723FC" w:rsidP="00C723FC">
            <w:pPr>
              <w:rPr>
                <w:sz w:val="24"/>
                <w:szCs w:val="24"/>
                <w:lang w:val="ro-RO" w:eastAsia="ro-RO"/>
              </w:rPr>
            </w:pPr>
            <w:r w:rsidRPr="0087426E">
              <w:rPr>
                <w:sz w:val="24"/>
                <w:szCs w:val="24"/>
                <w:lang w:val="ro-RO" w:eastAsia="ro-RO"/>
              </w:rPr>
              <w:t>Casa Naţională de Asigurări Sociale, Inspectoratul de Stat al Muncii, Ministerul Muncii, Protecţiei Sociale şi Familiei, Ministerul Afacerilor Interne, Inspectoratul Fiscal Principal de Stat</w:t>
            </w:r>
          </w:p>
        </w:tc>
        <w:tc>
          <w:tcPr>
            <w:tcW w:w="4755" w:type="dxa"/>
          </w:tcPr>
          <w:p w:rsidR="00675286" w:rsidRPr="0087426E" w:rsidRDefault="00675286" w:rsidP="00BC3947">
            <w:pPr>
              <w:ind w:firstLine="317"/>
              <w:jc w:val="both"/>
              <w:rPr>
                <w:rFonts w:eastAsia="Calibri"/>
                <w:sz w:val="24"/>
                <w:szCs w:val="24"/>
                <w:lang w:val="ro-RO"/>
              </w:rPr>
            </w:pPr>
            <w:r w:rsidRPr="0087426E">
              <w:rPr>
                <w:rFonts w:eastAsia="Calibri"/>
                <w:sz w:val="24"/>
                <w:szCs w:val="24"/>
                <w:lang w:val="ro-RO"/>
              </w:rPr>
              <w:t>În scopul mediatizării consecințelor negative pentru salariați a acceptării salariului neoficial (privarea de drepturi la asistență medicală asigurată, la concediu anual, la o pensie decentă etc.), se organizează campanii de informare prin intermediul unor emisiuni TV și radio și al spoturilor publicitare.</w:t>
            </w:r>
          </w:p>
          <w:p w:rsidR="00675286" w:rsidRDefault="00675286" w:rsidP="00BC3947">
            <w:pPr>
              <w:ind w:firstLine="317"/>
              <w:jc w:val="both"/>
              <w:rPr>
                <w:sz w:val="24"/>
                <w:szCs w:val="24"/>
                <w:lang w:val="ro-RO"/>
              </w:rPr>
            </w:pPr>
            <w:r w:rsidRPr="0087426E">
              <w:rPr>
                <w:rFonts w:eastAsia="Calibri"/>
                <w:sz w:val="24"/>
                <w:szCs w:val="24"/>
                <w:lang w:val="ro-RO"/>
              </w:rPr>
              <w:t>Acțiuni de sensibilizare a publicului larg despre consecințele negative pentru salariați a acceptării salariului neoficial se întreprind permanent de către Inspectoratul de Stat al Muncii (articole în presă, participări la emisiunile televizate și radiofonice).</w:t>
            </w:r>
            <w:r w:rsidRPr="0087426E">
              <w:rPr>
                <w:sz w:val="24"/>
                <w:szCs w:val="24"/>
                <w:lang w:val="ro-RO"/>
              </w:rPr>
              <w:t xml:space="preserve"> Astfel, în anul 2015 în presa centrală şi locală au fost publicate 69 articole, au avut loc 49 participări în cadrul emisiunilor televizate şi 26 participări în cadrul emisiunilor radiofonice.</w:t>
            </w:r>
          </w:p>
          <w:p w:rsidR="001E3C3A" w:rsidRPr="00D075E9" w:rsidRDefault="00D075E9" w:rsidP="00BC3947">
            <w:pPr>
              <w:ind w:firstLine="317"/>
              <w:jc w:val="both"/>
              <w:rPr>
                <w:sz w:val="24"/>
                <w:szCs w:val="24"/>
                <w:lang w:val="ro-MO"/>
              </w:rPr>
            </w:pPr>
            <w:r w:rsidRPr="00D075E9">
              <w:rPr>
                <w:sz w:val="24"/>
                <w:szCs w:val="24"/>
                <w:lang w:val="ro-MO"/>
              </w:rPr>
              <w:t>Totodată, î</w:t>
            </w:r>
            <w:r w:rsidR="001E3C3A" w:rsidRPr="00D075E9">
              <w:rPr>
                <w:sz w:val="24"/>
                <w:szCs w:val="24"/>
                <w:lang w:val="ro-MO"/>
              </w:rPr>
              <w:t xml:space="preserve">n scopul informării populației Agenția Națională a plasat pe site </w:t>
            </w:r>
            <w:hyperlink r:id="rId9" w:history="1">
              <w:r w:rsidR="001E3C3A" w:rsidRPr="00D075E9">
                <w:rPr>
                  <w:rStyle w:val="Hyperlink"/>
                  <w:sz w:val="24"/>
                  <w:szCs w:val="24"/>
                  <w:lang w:val="ro-MO"/>
                </w:rPr>
                <w:t>www.anofm.md</w:t>
              </w:r>
            </w:hyperlink>
            <w:r w:rsidR="001E3C3A" w:rsidRPr="00D075E9">
              <w:rPr>
                <w:sz w:val="24"/>
                <w:szCs w:val="24"/>
                <w:lang w:val="ro-MO"/>
              </w:rPr>
              <w:t xml:space="preserve"> comunicatul de presă al Organizației Internaționale a Muncii (OIM) privind lansarea unei   campanii de sensibilizare asupra economiei informale și a muncii nedeclarate în Moldova. </w:t>
            </w:r>
          </w:p>
          <w:p w:rsidR="001E3C3A" w:rsidRPr="00D075E9" w:rsidRDefault="00D075E9" w:rsidP="00BC3947">
            <w:pPr>
              <w:ind w:left="34" w:firstLine="317"/>
              <w:jc w:val="both"/>
              <w:rPr>
                <w:sz w:val="24"/>
                <w:szCs w:val="24"/>
                <w:lang w:val="ro-MO"/>
              </w:rPr>
            </w:pPr>
            <w:r>
              <w:rPr>
                <w:sz w:val="24"/>
                <w:szCs w:val="24"/>
                <w:lang w:val="ro-MO"/>
              </w:rPr>
              <w:t xml:space="preserve">   </w:t>
            </w:r>
            <w:r w:rsidR="001E3C3A" w:rsidRPr="00D075E9">
              <w:rPr>
                <w:sz w:val="24"/>
                <w:szCs w:val="24"/>
                <w:lang w:val="ro-MO"/>
              </w:rPr>
              <w:t xml:space="preserve">Serviciile on-line în domeniul ocupării forței de muncă, prestate prin intermediul diverselor instrumente informative: site </w:t>
            </w:r>
            <w:proofErr w:type="spellStart"/>
            <w:r w:rsidR="001E3C3A" w:rsidRPr="00D075E9">
              <w:rPr>
                <w:sz w:val="24"/>
                <w:szCs w:val="24"/>
                <w:u w:val="single"/>
                <w:lang w:val="ro-MO"/>
              </w:rPr>
              <w:t>www.anofm.md</w:t>
            </w:r>
            <w:proofErr w:type="spellEnd"/>
            <w:r w:rsidR="001E3C3A" w:rsidRPr="00D075E9">
              <w:rPr>
                <w:sz w:val="24"/>
                <w:szCs w:val="24"/>
                <w:lang w:val="ro-MO"/>
              </w:rPr>
              <w:t xml:space="preserve">, portal modern </w:t>
            </w:r>
            <w:proofErr w:type="spellStart"/>
            <w:r w:rsidR="001E3C3A" w:rsidRPr="00D075E9">
              <w:rPr>
                <w:sz w:val="24"/>
                <w:szCs w:val="24"/>
                <w:u w:val="single"/>
                <w:lang w:val="ro-MO"/>
              </w:rPr>
              <w:lastRenderedPageBreak/>
              <w:t>www.angajat.md</w:t>
            </w:r>
            <w:proofErr w:type="spellEnd"/>
            <w:r w:rsidR="001E3C3A" w:rsidRPr="00D075E9">
              <w:rPr>
                <w:sz w:val="24"/>
                <w:szCs w:val="24"/>
                <w:lang w:val="ro-MO"/>
              </w:rPr>
              <w:t xml:space="preserve">, </w:t>
            </w:r>
            <w:proofErr w:type="spellStart"/>
            <w:r w:rsidR="001E3C3A" w:rsidRPr="00D075E9">
              <w:rPr>
                <w:sz w:val="24"/>
                <w:szCs w:val="24"/>
                <w:lang w:val="ro-MO"/>
              </w:rPr>
              <w:t>facebook</w:t>
            </w:r>
            <w:proofErr w:type="spellEnd"/>
            <w:r w:rsidR="001E3C3A" w:rsidRPr="00D075E9">
              <w:rPr>
                <w:sz w:val="24"/>
                <w:szCs w:val="24"/>
                <w:lang w:val="ro-MO"/>
              </w:rPr>
              <w:t xml:space="preserve">, emisiuni radio și TV, pliante informative, broșuri </w:t>
            </w:r>
            <w:proofErr w:type="spellStart"/>
            <w:r w:rsidR="001E3C3A" w:rsidRPr="00D075E9">
              <w:rPr>
                <w:sz w:val="24"/>
                <w:szCs w:val="24"/>
                <w:lang w:val="ro-MO"/>
              </w:rPr>
              <w:t>banere</w:t>
            </w:r>
            <w:proofErr w:type="spellEnd"/>
            <w:r w:rsidR="001E3C3A" w:rsidRPr="00D075E9">
              <w:rPr>
                <w:sz w:val="24"/>
                <w:szCs w:val="24"/>
                <w:lang w:val="ro-MO"/>
              </w:rPr>
              <w:t xml:space="preserve"> și afișe informative, articole în presă la nivel național/local, seminare cu șomerii și angajatorii și spot-uri  pun la dispoziția populației o gamă  largă de informații cu referire la piața muncii.</w:t>
            </w:r>
          </w:p>
          <w:p w:rsidR="001E3C3A" w:rsidRPr="00D075E9" w:rsidRDefault="001E3C3A" w:rsidP="00BC3947">
            <w:pPr>
              <w:ind w:left="34" w:firstLine="317"/>
              <w:jc w:val="both"/>
              <w:rPr>
                <w:sz w:val="24"/>
                <w:szCs w:val="24"/>
                <w:lang w:val="ro-MO"/>
              </w:rPr>
            </w:pPr>
            <w:r w:rsidRPr="00D075E9">
              <w:rPr>
                <w:sz w:val="24"/>
                <w:szCs w:val="24"/>
                <w:lang w:val="ro-MO"/>
              </w:rPr>
              <w:t xml:space="preserve">       Agenția Națională și-a diversificat serviciile de informare în mediul on-line printr-o activitate nouă care dezvoltă capacitățile de utilizare a tehnologiilor informaționale și anume platforma </w:t>
            </w:r>
            <w:hyperlink r:id="rId10" w:history="1">
              <w:r w:rsidRPr="00D075E9">
                <w:rPr>
                  <w:rStyle w:val="Hyperlink"/>
                  <w:sz w:val="24"/>
                  <w:szCs w:val="24"/>
                  <w:lang w:val="ro-MO"/>
                </w:rPr>
                <w:t>www.e-angajare</w:t>
              </w:r>
            </w:hyperlink>
            <w:r w:rsidRPr="00D075E9">
              <w:rPr>
                <w:sz w:val="24"/>
                <w:szCs w:val="24"/>
                <w:lang w:val="ro-MO"/>
              </w:rPr>
              <w:t xml:space="preserve">, care oferă șansă cetățenilor să cunoască solicitările actuale ale angajatorilor și să aplice direct pentru postul ales. Această platformă  facilitează </w:t>
            </w:r>
            <w:proofErr w:type="spellStart"/>
            <w:r w:rsidRPr="00D075E9">
              <w:rPr>
                <w:sz w:val="24"/>
                <w:szCs w:val="24"/>
                <w:lang w:val="ro-MO"/>
              </w:rPr>
              <w:t>întîlnirea</w:t>
            </w:r>
            <w:proofErr w:type="spellEnd"/>
            <w:r w:rsidRPr="00D075E9">
              <w:rPr>
                <w:sz w:val="24"/>
                <w:szCs w:val="24"/>
                <w:lang w:val="ro-MO"/>
              </w:rPr>
              <w:t xml:space="preserve"> dintre persoanele aflate în căutarea unui loc de muncă și angajatorii, oferind transparență procesului de recrutare și </w:t>
            </w:r>
            <w:proofErr w:type="spellStart"/>
            <w:r w:rsidRPr="00D075E9">
              <w:rPr>
                <w:sz w:val="24"/>
                <w:szCs w:val="24"/>
                <w:lang w:val="ro-MO"/>
              </w:rPr>
              <w:t>aducînd</w:t>
            </w:r>
            <w:proofErr w:type="spellEnd"/>
            <w:r w:rsidRPr="00D075E9">
              <w:rPr>
                <w:sz w:val="24"/>
                <w:szCs w:val="24"/>
                <w:lang w:val="ro-MO"/>
              </w:rPr>
              <w:t xml:space="preserve"> ambele părți implicate beneficiile comunicării directe.</w:t>
            </w:r>
          </w:p>
          <w:p w:rsidR="001E3C3A" w:rsidRPr="001E3C3A" w:rsidRDefault="001E3C3A" w:rsidP="00BC3947">
            <w:pPr>
              <w:ind w:left="34" w:firstLine="317"/>
              <w:jc w:val="both"/>
              <w:rPr>
                <w:sz w:val="24"/>
                <w:szCs w:val="24"/>
                <w:lang w:val="en-US"/>
              </w:rPr>
            </w:pPr>
            <w:r w:rsidRPr="00D075E9">
              <w:rPr>
                <w:sz w:val="24"/>
                <w:szCs w:val="24"/>
                <w:lang w:val="ro-MO"/>
              </w:rPr>
              <w:t xml:space="preserve">       Un aport deosebit la </w:t>
            </w:r>
            <w:proofErr w:type="spellStart"/>
            <w:r w:rsidRPr="00D075E9">
              <w:rPr>
                <w:sz w:val="24"/>
                <w:szCs w:val="24"/>
                <w:lang w:val="ro-MO"/>
              </w:rPr>
              <w:t>infomarea</w:t>
            </w:r>
            <w:proofErr w:type="spellEnd"/>
            <w:r w:rsidRPr="00D075E9">
              <w:rPr>
                <w:sz w:val="24"/>
                <w:szCs w:val="24"/>
                <w:lang w:val="ro-MO"/>
              </w:rPr>
              <w:t xml:space="preserve"> populației îl au Centrele de informare Piața muncii, deschise în incinta AOFM a mun. Chișinău, Bălți și r. Cahul, care prestează servicii de </w:t>
            </w:r>
            <w:proofErr w:type="spellStart"/>
            <w:r w:rsidRPr="00D075E9">
              <w:rPr>
                <w:sz w:val="24"/>
                <w:szCs w:val="24"/>
                <w:lang w:val="ro-MO"/>
              </w:rPr>
              <w:t>autoinformare</w:t>
            </w:r>
            <w:proofErr w:type="spellEnd"/>
            <w:r w:rsidRPr="00D075E9">
              <w:rPr>
                <w:sz w:val="24"/>
                <w:szCs w:val="24"/>
                <w:lang w:val="ro-MO"/>
              </w:rPr>
              <w:t xml:space="preserve"> și </w:t>
            </w:r>
            <w:proofErr w:type="spellStart"/>
            <w:r w:rsidRPr="00D075E9">
              <w:rPr>
                <w:sz w:val="24"/>
                <w:szCs w:val="24"/>
                <w:lang w:val="ro-MO"/>
              </w:rPr>
              <w:t>autoocupare</w:t>
            </w:r>
            <w:proofErr w:type="spellEnd"/>
            <w:r w:rsidRPr="00D075E9">
              <w:rPr>
                <w:sz w:val="24"/>
                <w:szCs w:val="24"/>
                <w:lang w:val="ro-MO"/>
              </w:rPr>
              <w:t xml:space="preserve"> și sunt dotate cu cabine telefonice și posturi de </w:t>
            </w:r>
            <w:proofErr w:type="spellStart"/>
            <w:r w:rsidRPr="00D075E9">
              <w:rPr>
                <w:sz w:val="24"/>
                <w:szCs w:val="24"/>
                <w:lang w:val="ro-MO"/>
              </w:rPr>
              <w:t>auto</w:t>
            </w:r>
            <w:r w:rsidR="00BC3947">
              <w:rPr>
                <w:sz w:val="24"/>
                <w:szCs w:val="24"/>
                <w:lang w:val="ro-MO"/>
              </w:rPr>
              <w:t>o</w:t>
            </w:r>
            <w:r w:rsidRPr="00D075E9">
              <w:rPr>
                <w:sz w:val="24"/>
                <w:szCs w:val="24"/>
                <w:lang w:val="ro-MO"/>
              </w:rPr>
              <w:t>cupare</w:t>
            </w:r>
            <w:proofErr w:type="spellEnd"/>
            <w:r w:rsidRPr="00D075E9">
              <w:rPr>
                <w:sz w:val="24"/>
                <w:szCs w:val="24"/>
                <w:lang w:val="ro-MO"/>
              </w:rPr>
              <w:t xml:space="preserve"> a locurilor de muncă ce dau posibilitate persoanelor aflate în căutarea unui loc de muncă să se familiarizeze cu cererea  și oferta locurilor de muncă, condițiile de ocupare a locurilor vacante,  să capete informații juridice cu referire la prevederile legislației privind ocuparea forței de muncă</w:t>
            </w:r>
            <w:r w:rsidRPr="001E3C3A">
              <w:rPr>
                <w:sz w:val="24"/>
                <w:szCs w:val="24"/>
                <w:lang w:val="en-US"/>
              </w:rPr>
              <w:t xml:space="preserve">. </w:t>
            </w:r>
          </w:p>
          <w:p w:rsidR="00EC58F8" w:rsidRPr="00D81ED7" w:rsidRDefault="00D075E9" w:rsidP="00BC3947">
            <w:pPr>
              <w:ind w:firstLine="317"/>
              <w:jc w:val="both"/>
              <w:rPr>
                <w:color w:val="000000"/>
                <w:sz w:val="24"/>
                <w:szCs w:val="24"/>
                <w:lang w:val="ro-MO"/>
              </w:rPr>
            </w:pPr>
            <w:r w:rsidRPr="00D075E9">
              <w:rPr>
                <w:sz w:val="24"/>
                <w:szCs w:val="24"/>
                <w:lang w:val="ro-MO"/>
              </w:rPr>
              <w:t>Casa Națională de Asigurări Sociale, p</w:t>
            </w:r>
            <w:r w:rsidR="00EC58F8" w:rsidRPr="00D075E9">
              <w:rPr>
                <w:sz w:val="24"/>
                <w:szCs w:val="24"/>
                <w:lang w:val="ro-MO"/>
              </w:rPr>
              <w:t>e p</w:t>
            </w:r>
            <w:r w:rsidR="00EC58F8" w:rsidRPr="00D81ED7">
              <w:rPr>
                <w:sz w:val="24"/>
                <w:szCs w:val="24"/>
                <w:lang w:val="ro-MO"/>
              </w:rPr>
              <w:t>arcursul</w:t>
            </w:r>
            <w:r w:rsidR="00EC58F8" w:rsidRPr="00D81ED7">
              <w:rPr>
                <w:b/>
                <w:sz w:val="24"/>
                <w:szCs w:val="24"/>
                <w:lang w:val="ro-MO"/>
              </w:rPr>
              <w:t xml:space="preserve"> </w:t>
            </w:r>
            <w:r w:rsidR="00EC58F8" w:rsidRPr="00D81ED7">
              <w:rPr>
                <w:sz w:val="24"/>
                <w:szCs w:val="24"/>
                <w:lang w:val="ro-MO"/>
              </w:rPr>
              <w:t xml:space="preserve">anului 2015, în cadrul </w:t>
            </w:r>
            <w:r w:rsidR="00EC58F8" w:rsidRPr="00D81ED7">
              <w:rPr>
                <w:b/>
                <w:sz w:val="24"/>
                <w:szCs w:val="24"/>
                <w:lang w:val="ro-MO"/>
              </w:rPr>
              <w:t xml:space="preserve">campaniilor de informare ”Pentru a beneficia de pensie, achitaţi contribuţii de asigurări sociale!”, </w:t>
            </w:r>
            <w:r w:rsidR="00EC58F8" w:rsidRPr="00D81ED7">
              <w:rPr>
                <w:b/>
                <w:sz w:val="24"/>
                <w:szCs w:val="24"/>
                <w:lang w:val="ro-MO"/>
              </w:rPr>
              <w:lastRenderedPageBreak/>
              <w:t xml:space="preserve">„Spune Nu! salariului în plic”, </w:t>
            </w:r>
            <w:r w:rsidR="00EC58F8" w:rsidRPr="00D81ED7">
              <w:rPr>
                <w:sz w:val="24"/>
                <w:szCs w:val="24"/>
                <w:lang w:val="ro-MO"/>
              </w:rPr>
              <w:t>au fost tipărite în limbile română şi rusă</w:t>
            </w:r>
            <w:r w:rsidR="00EC58F8" w:rsidRPr="00D81ED7">
              <w:rPr>
                <w:b/>
                <w:sz w:val="24"/>
                <w:szCs w:val="24"/>
                <w:lang w:val="ro-MO"/>
              </w:rPr>
              <w:t xml:space="preserve"> 3 </w:t>
            </w:r>
            <w:proofErr w:type="spellStart"/>
            <w:r w:rsidR="00EC58F8" w:rsidRPr="00D81ED7">
              <w:rPr>
                <w:b/>
                <w:sz w:val="24"/>
                <w:szCs w:val="24"/>
                <w:lang w:val="ro-MO"/>
              </w:rPr>
              <w:t>flyere</w:t>
            </w:r>
            <w:proofErr w:type="spellEnd"/>
            <w:r w:rsidR="00EC58F8" w:rsidRPr="00D81ED7">
              <w:rPr>
                <w:b/>
                <w:sz w:val="24"/>
                <w:szCs w:val="24"/>
                <w:lang w:val="ro-MO"/>
              </w:rPr>
              <w:t xml:space="preserve"> (40000 exemplare)</w:t>
            </w:r>
            <w:r w:rsidR="00EC58F8" w:rsidRPr="00D81ED7">
              <w:rPr>
                <w:sz w:val="24"/>
                <w:szCs w:val="24"/>
                <w:lang w:val="ro-MO"/>
              </w:rPr>
              <w:t>:</w:t>
            </w:r>
            <w:r w:rsidR="00EC58F8" w:rsidRPr="00D81ED7">
              <w:rPr>
                <w:b/>
                <w:color w:val="000000"/>
                <w:sz w:val="24"/>
                <w:szCs w:val="24"/>
                <w:lang w:val="ro-MO"/>
              </w:rPr>
              <w:t xml:space="preserve"> „Spune NU! Salariului în plic”; „Ştiţi că fiecare cetăţean care achită contribuţii sociale are un cont personal de asigurare?”, „Plata pensiilor în prezent şi viitor depinde de angajatori!”.</w:t>
            </w:r>
            <w:r w:rsidR="00EC58F8" w:rsidRPr="00D81ED7">
              <w:rPr>
                <w:color w:val="000000"/>
                <w:sz w:val="24"/>
                <w:szCs w:val="24"/>
                <w:lang w:val="ro-MO"/>
              </w:rPr>
              <w:t xml:space="preserve"> Acestea au fost distribuite în cadrul </w:t>
            </w:r>
            <w:r w:rsidR="00EC58F8" w:rsidRPr="00D81ED7">
              <w:rPr>
                <w:b/>
                <w:sz w:val="24"/>
                <w:szCs w:val="24"/>
                <w:lang w:val="ro-MO"/>
              </w:rPr>
              <w:t>Expoziţiei Naţionale „Fabricat în Moldova”</w:t>
            </w:r>
            <w:r w:rsidR="00EC58F8" w:rsidRPr="00D81ED7">
              <w:rPr>
                <w:sz w:val="24"/>
                <w:szCs w:val="24"/>
                <w:lang w:val="ro-MO"/>
              </w:rPr>
              <w:t xml:space="preserve"> în perioada</w:t>
            </w:r>
            <w:r w:rsidR="00EC58F8" w:rsidRPr="00D81ED7">
              <w:rPr>
                <w:b/>
                <w:sz w:val="24"/>
                <w:szCs w:val="24"/>
                <w:lang w:val="ro-MO"/>
              </w:rPr>
              <w:t xml:space="preserve"> 28 ianuarie - 1 februarie 2015</w:t>
            </w:r>
            <w:r w:rsidR="00EC58F8" w:rsidRPr="00D81ED7">
              <w:rPr>
                <w:sz w:val="24"/>
                <w:szCs w:val="24"/>
                <w:lang w:val="ro-MO"/>
              </w:rPr>
              <w:t xml:space="preserve"> şi </w:t>
            </w:r>
            <w:r w:rsidR="00EC58F8" w:rsidRPr="00D81ED7">
              <w:rPr>
                <w:color w:val="000000"/>
                <w:sz w:val="24"/>
                <w:szCs w:val="24"/>
                <w:lang w:val="ro-MO"/>
              </w:rPr>
              <w:t xml:space="preserve"> repartizate proporţional la CTAS pentru distribuirea beneficiarilor de prestaţii de asigurări sociale.</w:t>
            </w:r>
          </w:p>
          <w:p w:rsidR="00EC58F8" w:rsidRPr="00D81ED7" w:rsidRDefault="00EC58F8" w:rsidP="00BC3947">
            <w:pPr>
              <w:spacing w:after="240"/>
              <w:ind w:firstLine="317"/>
              <w:jc w:val="both"/>
              <w:rPr>
                <w:sz w:val="24"/>
                <w:szCs w:val="24"/>
                <w:lang w:val="ro-MO"/>
              </w:rPr>
            </w:pPr>
            <w:r w:rsidRPr="00D81ED7">
              <w:rPr>
                <w:color w:val="000000"/>
                <w:sz w:val="24"/>
                <w:szCs w:val="24"/>
                <w:lang w:val="ro-MO"/>
              </w:rPr>
              <w:t xml:space="preserve"> </w:t>
            </w:r>
            <w:r w:rsidRPr="00D81ED7">
              <w:rPr>
                <w:b/>
                <w:sz w:val="24"/>
                <w:szCs w:val="24"/>
                <w:lang w:val="ro-MO"/>
              </w:rPr>
              <w:t xml:space="preserve">560 </w:t>
            </w:r>
            <w:r w:rsidRPr="00D81ED7">
              <w:rPr>
                <w:sz w:val="24"/>
                <w:szCs w:val="24"/>
                <w:lang w:val="ro-MO"/>
              </w:rPr>
              <w:t>de bannere</w:t>
            </w:r>
            <w:r w:rsidRPr="00D81ED7">
              <w:rPr>
                <w:b/>
                <w:sz w:val="24"/>
                <w:szCs w:val="24"/>
                <w:lang w:val="ro-MO"/>
              </w:rPr>
              <w:t xml:space="preserve">, </w:t>
            </w:r>
            <w:r w:rsidRPr="00D81ED7">
              <w:rPr>
                <w:b/>
                <w:color w:val="000000"/>
                <w:sz w:val="24"/>
                <w:szCs w:val="24"/>
                <w:lang w:val="ro-MO"/>
              </w:rPr>
              <w:t>„Spune NU! Salariului în plic”, „Ştiţi că fiecare cetăţean care achită contribuţii sociale are un cont personal de asigurare?”,</w:t>
            </w:r>
            <w:r w:rsidRPr="00D81ED7">
              <w:rPr>
                <w:color w:val="000000"/>
                <w:sz w:val="24"/>
                <w:szCs w:val="24"/>
                <w:lang w:val="ro-MO"/>
              </w:rPr>
              <w:t xml:space="preserve"> </w:t>
            </w:r>
            <w:r w:rsidRPr="00D81ED7">
              <w:rPr>
                <w:sz w:val="24"/>
                <w:szCs w:val="24"/>
                <w:lang w:val="ro-MO"/>
              </w:rPr>
              <w:t xml:space="preserve">(în limba română şi rusă), cu acelaşi conţinut şi design, au fost afişate la staţiile auto din mun. Chişinău. </w:t>
            </w:r>
          </w:p>
          <w:p w:rsidR="00EC58F8" w:rsidRPr="00D81ED7" w:rsidRDefault="00EC58F8" w:rsidP="00BC3947">
            <w:pPr>
              <w:pStyle w:val="BodyText"/>
              <w:tabs>
                <w:tab w:val="left" w:pos="900"/>
                <w:tab w:val="num" w:pos="1080"/>
              </w:tabs>
              <w:spacing w:after="240"/>
              <w:ind w:firstLine="317"/>
              <w:jc w:val="both"/>
              <w:rPr>
                <w:i/>
                <w:lang w:val="ro-MO"/>
              </w:rPr>
            </w:pPr>
            <w:r w:rsidRPr="00D81ED7">
              <w:rPr>
                <w:b/>
                <w:i/>
                <w:lang w:val="ro-MO"/>
              </w:rPr>
              <w:t>Reflectarea în ziarul „Asigurarea Socială”</w:t>
            </w:r>
          </w:p>
          <w:p w:rsidR="00EC58F8" w:rsidRPr="00D81ED7" w:rsidRDefault="00EC58F8" w:rsidP="00BC3947">
            <w:pPr>
              <w:pStyle w:val="BodyText"/>
              <w:tabs>
                <w:tab w:val="left" w:pos="540"/>
                <w:tab w:val="left" w:pos="720"/>
                <w:tab w:val="left" w:pos="900"/>
                <w:tab w:val="num" w:pos="1080"/>
              </w:tabs>
              <w:spacing w:after="240"/>
              <w:ind w:firstLine="317"/>
              <w:jc w:val="both"/>
              <w:rPr>
                <w:rFonts w:ascii="Times New Roman" w:hAnsi="Times New Roman" w:cs="Times New Roman"/>
                <w:i/>
                <w:lang w:val="ro-MO"/>
              </w:rPr>
            </w:pPr>
            <w:r w:rsidRPr="00D81ED7">
              <w:rPr>
                <w:lang w:val="ro-MO"/>
              </w:rPr>
              <w:t xml:space="preserve">        </w:t>
            </w:r>
            <w:r w:rsidRPr="00D81ED7">
              <w:rPr>
                <w:rFonts w:ascii="Times New Roman" w:hAnsi="Times New Roman" w:cs="Times New Roman"/>
                <w:lang w:val="ro-MO"/>
              </w:rPr>
              <w:t xml:space="preserve">Ziarul „Asigurarea Socială” reflectă periodic tematica achitării salariului „în plic”. Pe parcursul anului 2015 au fost publicate 6 materiale şi un </w:t>
            </w:r>
            <w:proofErr w:type="spellStart"/>
            <w:r w:rsidRPr="00D81ED7">
              <w:rPr>
                <w:rFonts w:ascii="Times New Roman" w:hAnsi="Times New Roman" w:cs="Times New Roman"/>
                <w:lang w:val="ro-MO"/>
              </w:rPr>
              <w:t>flyer</w:t>
            </w:r>
            <w:proofErr w:type="spellEnd"/>
            <w:r w:rsidRPr="00D81ED7">
              <w:rPr>
                <w:rFonts w:ascii="Times New Roman" w:hAnsi="Times New Roman" w:cs="Times New Roman"/>
                <w:lang w:val="ro-MO"/>
              </w:rPr>
              <w:t xml:space="preserve"> la această temă: </w:t>
            </w:r>
          </w:p>
          <w:p w:rsidR="00EC58F8" w:rsidRPr="00D81ED7" w:rsidRDefault="00EC58F8" w:rsidP="00BC3947">
            <w:pPr>
              <w:ind w:firstLine="317"/>
              <w:rPr>
                <w:sz w:val="24"/>
                <w:szCs w:val="24"/>
                <w:lang w:val="ro-MO"/>
              </w:rPr>
            </w:pPr>
            <w:r w:rsidRPr="00D81ED7">
              <w:rPr>
                <w:sz w:val="24"/>
                <w:szCs w:val="24"/>
                <w:lang w:val="ro-MO"/>
              </w:rPr>
              <w:t xml:space="preserve">1. Ziarul „Asigurarea Socială”  nr. 6 </w:t>
            </w:r>
          </w:p>
          <w:p w:rsidR="00EC58F8" w:rsidRPr="00D81ED7" w:rsidRDefault="00EC58F8" w:rsidP="00BC3947">
            <w:pPr>
              <w:numPr>
                <w:ilvl w:val="0"/>
                <w:numId w:val="7"/>
              </w:numPr>
              <w:tabs>
                <w:tab w:val="clear" w:pos="720"/>
              </w:tabs>
              <w:ind w:left="34" w:firstLine="317"/>
              <w:rPr>
                <w:sz w:val="24"/>
                <w:szCs w:val="24"/>
                <w:lang w:val="ro-MO"/>
              </w:rPr>
            </w:pPr>
            <w:r w:rsidRPr="00D81ED7">
              <w:rPr>
                <w:sz w:val="24"/>
                <w:szCs w:val="24"/>
                <w:lang w:val="ro-MO"/>
              </w:rPr>
              <w:t xml:space="preserve">Datoriile de milioane ale angajatorilor; </w:t>
            </w:r>
          </w:p>
          <w:p w:rsidR="00EC58F8" w:rsidRPr="00D81ED7" w:rsidRDefault="00EC58F8" w:rsidP="00BC3947">
            <w:pPr>
              <w:numPr>
                <w:ilvl w:val="0"/>
                <w:numId w:val="7"/>
              </w:numPr>
              <w:tabs>
                <w:tab w:val="clear" w:pos="720"/>
              </w:tabs>
              <w:ind w:left="34" w:firstLine="1003"/>
              <w:jc w:val="both"/>
              <w:rPr>
                <w:sz w:val="24"/>
                <w:szCs w:val="24"/>
                <w:lang w:val="ro-MO"/>
              </w:rPr>
            </w:pPr>
            <w:r w:rsidRPr="00D81ED7">
              <w:rPr>
                <w:sz w:val="24"/>
                <w:szCs w:val="24"/>
                <w:lang w:val="ro-MO"/>
              </w:rPr>
              <w:t>Lista plătitorilor de contribuţii la bugetul asigurărilor sociale de stat cu datorii mai mari de 100 mii lei la situaţia de 30.06.15</w:t>
            </w:r>
          </w:p>
          <w:p w:rsidR="00EC58F8" w:rsidRPr="00D81ED7" w:rsidRDefault="00EC58F8" w:rsidP="00BC3947">
            <w:pPr>
              <w:ind w:firstLine="317"/>
              <w:rPr>
                <w:sz w:val="24"/>
                <w:szCs w:val="24"/>
                <w:lang w:val="ro-MO"/>
              </w:rPr>
            </w:pPr>
            <w:r w:rsidRPr="00D81ED7">
              <w:rPr>
                <w:sz w:val="24"/>
                <w:szCs w:val="24"/>
                <w:lang w:val="ro-MO"/>
              </w:rPr>
              <w:t xml:space="preserve">2. Ziarul „Asigurarea Socială”   nr. 7 </w:t>
            </w:r>
          </w:p>
          <w:p w:rsidR="00EC58F8" w:rsidRPr="00D81ED7" w:rsidRDefault="00EC58F8" w:rsidP="00BC3947">
            <w:pPr>
              <w:numPr>
                <w:ilvl w:val="0"/>
                <w:numId w:val="7"/>
              </w:numPr>
              <w:tabs>
                <w:tab w:val="clear" w:pos="720"/>
              </w:tabs>
              <w:ind w:left="34" w:firstLine="1003"/>
              <w:rPr>
                <w:sz w:val="24"/>
                <w:szCs w:val="24"/>
                <w:lang w:val="ro-MO"/>
              </w:rPr>
            </w:pPr>
            <w:r w:rsidRPr="00D81ED7">
              <w:rPr>
                <w:sz w:val="24"/>
                <w:szCs w:val="24"/>
                <w:lang w:val="ro-MO"/>
              </w:rPr>
              <w:t>Primiţi salariu în plic? În acest caz nu speraţi la o pensie!</w:t>
            </w:r>
          </w:p>
          <w:p w:rsidR="00EC58F8" w:rsidRPr="00D81ED7" w:rsidRDefault="00EC58F8" w:rsidP="00BC3947">
            <w:pPr>
              <w:numPr>
                <w:ilvl w:val="0"/>
                <w:numId w:val="7"/>
              </w:numPr>
              <w:tabs>
                <w:tab w:val="clear" w:pos="720"/>
              </w:tabs>
              <w:ind w:left="34" w:firstLine="1003"/>
              <w:rPr>
                <w:sz w:val="24"/>
                <w:szCs w:val="24"/>
                <w:lang w:val="ro-MO"/>
              </w:rPr>
            </w:pPr>
            <w:proofErr w:type="spellStart"/>
            <w:r w:rsidRPr="00D81ED7">
              <w:rPr>
                <w:sz w:val="24"/>
                <w:szCs w:val="24"/>
                <w:lang w:val="ro-MO"/>
              </w:rPr>
              <w:t>Flyer</w:t>
            </w:r>
            <w:proofErr w:type="spellEnd"/>
            <w:r w:rsidRPr="00D81ED7">
              <w:rPr>
                <w:sz w:val="24"/>
                <w:szCs w:val="24"/>
                <w:lang w:val="ro-MO"/>
              </w:rPr>
              <w:t xml:space="preserve"> Salariu în plic astăzi – pensie minimă în viitor!</w:t>
            </w:r>
          </w:p>
          <w:p w:rsidR="00EC58F8" w:rsidRPr="00D81ED7" w:rsidRDefault="00EC58F8" w:rsidP="00BC3947">
            <w:pPr>
              <w:numPr>
                <w:ilvl w:val="0"/>
                <w:numId w:val="7"/>
              </w:numPr>
              <w:tabs>
                <w:tab w:val="clear" w:pos="720"/>
              </w:tabs>
              <w:ind w:left="34" w:firstLine="1003"/>
              <w:jc w:val="both"/>
              <w:rPr>
                <w:sz w:val="24"/>
                <w:szCs w:val="24"/>
                <w:lang w:val="ro-MO"/>
              </w:rPr>
            </w:pPr>
            <w:r w:rsidRPr="00D81ED7">
              <w:rPr>
                <w:sz w:val="24"/>
                <w:szCs w:val="24"/>
                <w:lang w:val="ro-MO"/>
              </w:rPr>
              <w:t xml:space="preserve">Lista agenţilor economici din </w:t>
            </w:r>
            <w:r w:rsidRPr="00D81ED7">
              <w:rPr>
                <w:sz w:val="24"/>
                <w:szCs w:val="24"/>
                <w:lang w:val="ro-MO"/>
              </w:rPr>
              <w:lastRenderedPageBreak/>
              <w:t>mun. Chişinău care nu au depus la Casa Naţională de Asigurări Sociale declaraţiile persoanelor asigurate (forma REV-5) pentru anul 2014</w:t>
            </w:r>
          </w:p>
          <w:p w:rsidR="00EC58F8" w:rsidRPr="00D81ED7" w:rsidRDefault="00EC58F8" w:rsidP="00BC3947">
            <w:pPr>
              <w:ind w:firstLine="317"/>
              <w:rPr>
                <w:sz w:val="24"/>
                <w:szCs w:val="24"/>
                <w:lang w:val="ro-MO"/>
              </w:rPr>
            </w:pPr>
            <w:r w:rsidRPr="00D81ED7">
              <w:rPr>
                <w:sz w:val="24"/>
                <w:szCs w:val="24"/>
                <w:lang w:val="ro-MO"/>
              </w:rPr>
              <w:t xml:space="preserve">3. Ziarul „Asigurarea Socială” nr. 9 </w:t>
            </w:r>
          </w:p>
          <w:p w:rsidR="00EC58F8" w:rsidRPr="00D81ED7" w:rsidRDefault="00EC58F8" w:rsidP="00BC3947">
            <w:pPr>
              <w:numPr>
                <w:ilvl w:val="0"/>
                <w:numId w:val="7"/>
              </w:numPr>
              <w:tabs>
                <w:tab w:val="clear" w:pos="720"/>
              </w:tabs>
              <w:ind w:left="34" w:firstLine="1003"/>
              <w:rPr>
                <w:sz w:val="24"/>
                <w:szCs w:val="24"/>
                <w:lang w:val="ro-MO"/>
              </w:rPr>
            </w:pPr>
            <w:r w:rsidRPr="00D81ED7">
              <w:rPr>
                <w:sz w:val="24"/>
                <w:szCs w:val="24"/>
                <w:lang w:val="ro-MO"/>
              </w:rPr>
              <w:t>De ce depinde m</w:t>
            </w:r>
            <w:r w:rsidR="00BC3947">
              <w:rPr>
                <w:sz w:val="24"/>
                <w:szCs w:val="24"/>
                <w:lang w:val="ro-MO"/>
              </w:rPr>
              <w:t>ă</w:t>
            </w:r>
            <w:r w:rsidRPr="00D81ED7">
              <w:rPr>
                <w:sz w:val="24"/>
                <w:szCs w:val="24"/>
                <w:lang w:val="ro-MO"/>
              </w:rPr>
              <w:t>rimea pensiei viitoare</w:t>
            </w:r>
          </w:p>
          <w:p w:rsidR="00EC58F8" w:rsidRPr="00D81ED7" w:rsidRDefault="00EC58F8" w:rsidP="00BC3947">
            <w:pPr>
              <w:ind w:firstLine="317"/>
              <w:rPr>
                <w:sz w:val="24"/>
                <w:szCs w:val="24"/>
                <w:lang w:val="ro-MO"/>
              </w:rPr>
            </w:pPr>
            <w:r w:rsidRPr="00D81ED7">
              <w:rPr>
                <w:sz w:val="24"/>
                <w:szCs w:val="24"/>
                <w:lang w:val="ro-MO"/>
              </w:rPr>
              <w:t xml:space="preserve">4. Ziarul „Asigurarea Socială” nr. 10-11 </w:t>
            </w:r>
          </w:p>
          <w:p w:rsidR="00EC58F8" w:rsidRPr="00D81ED7" w:rsidRDefault="00EC58F8" w:rsidP="00BC3947">
            <w:pPr>
              <w:numPr>
                <w:ilvl w:val="0"/>
                <w:numId w:val="6"/>
              </w:numPr>
              <w:tabs>
                <w:tab w:val="clear" w:pos="720"/>
              </w:tabs>
              <w:ind w:left="34" w:firstLine="1003"/>
              <w:jc w:val="both"/>
              <w:rPr>
                <w:sz w:val="24"/>
                <w:szCs w:val="24"/>
                <w:lang w:val="ro-MO"/>
              </w:rPr>
            </w:pPr>
            <w:r w:rsidRPr="00D81ED7">
              <w:rPr>
                <w:sz w:val="24"/>
                <w:szCs w:val="24"/>
                <w:lang w:val="ro-MO"/>
              </w:rPr>
              <w:t>Lista plătitorilor de contribuţii la BASS, care la 1 noiembrie 2015 aveau datorii mai mari de 100 mii lei</w:t>
            </w:r>
          </w:p>
          <w:p w:rsidR="00EC58F8" w:rsidRPr="00D81ED7" w:rsidRDefault="00EC58F8" w:rsidP="00BC3947">
            <w:pPr>
              <w:pStyle w:val="BodyText"/>
              <w:tabs>
                <w:tab w:val="left" w:pos="900"/>
                <w:tab w:val="num" w:pos="1080"/>
              </w:tabs>
              <w:spacing w:after="240"/>
              <w:ind w:firstLine="317"/>
              <w:jc w:val="both"/>
              <w:rPr>
                <w:i/>
                <w:lang w:val="ro-MO"/>
              </w:rPr>
            </w:pPr>
            <w:r w:rsidRPr="00D81ED7">
              <w:rPr>
                <w:b/>
                <w:i/>
                <w:lang w:val="ro-MO"/>
              </w:rPr>
              <w:t xml:space="preserve">Reflectarea prin intermediul site-ului </w:t>
            </w:r>
            <w:hyperlink r:id="rId11" w:history="1">
              <w:r w:rsidRPr="00D81ED7">
                <w:rPr>
                  <w:rStyle w:val="Hyperlink"/>
                  <w:b/>
                  <w:i/>
                  <w:lang w:val="ro-MO"/>
                </w:rPr>
                <w:t>www.cnas.md</w:t>
              </w:r>
            </w:hyperlink>
          </w:p>
          <w:p w:rsidR="00EC58F8" w:rsidRPr="00D81ED7" w:rsidRDefault="00EC58F8" w:rsidP="00BC3947">
            <w:pPr>
              <w:ind w:firstLine="317"/>
              <w:jc w:val="both"/>
              <w:rPr>
                <w:sz w:val="24"/>
                <w:szCs w:val="24"/>
                <w:lang w:val="ro-MO"/>
              </w:rPr>
            </w:pPr>
            <w:r w:rsidRPr="00D81ED7">
              <w:rPr>
                <w:sz w:val="24"/>
                <w:szCs w:val="24"/>
                <w:lang w:val="ro-MO"/>
              </w:rPr>
              <w:t xml:space="preserve">Pe site-ul Casei Naţionale de Asigurări Sociale – </w:t>
            </w:r>
            <w:hyperlink r:id="rId12" w:history="1">
              <w:r w:rsidRPr="00D81ED7">
                <w:rPr>
                  <w:rStyle w:val="Hyperlink"/>
                  <w:sz w:val="24"/>
                  <w:szCs w:val="24"/>
                  <w:lang w:val="ro-MO"/>
                </w:rPr>
                <w:t>www.cnas.md</w:t>
              </w:r>
            </w:hyperlink>
            <w:r w:rsidRPr="00D81ED7">
              <w:rPr>
                <w:sz w:val="24"/>
                <w:szCs w:val="24"/>
                <w:lang w:val="ro-MO"/>
              </w:rPr>
              <w:t xml:space="preserve"> </w:t>
            </w:r>
            <w:proofErr w:type="spellStart"/>
            <w:r w:rsidRPr="00D81ED7">
              <w:rPr>
                <w:sz w:val="24"/>
                <w:szCs w:val="24"/>
                <w:lang w:val="ro-MO"/>
              </w:rPr>
              <w:t>sînt</w:t>
            </w:r>
            <w:proofErr w:type="spellEnd"/>
            <w:r w:rsidRPr="00D81ED7">
              <w:rPr>
                <w:sz w:val="24"/>
                <w:szCs w:val="24"/>
                <w:lang w:val="ro-MO"/>
              </w:rPr>
              <w:t xml:space="preserve"> publicate periodic listele agenţilor economici cu datorii la bugetul asigurărilor sociale de stat.</w:t>
            </w:r>
          </w:p>
          <w:p w:rsidR="00D075E9" w:rsidRPr="00D81ED7" w:rsidRDefault="00D075E9" w:rsidP="00BC3947">
            <w:pPr>
              <w:ind w:firstLine="317"/>
              <w:jc w:val="both"/>
              <w:rPr>
                <w:sz w:val="24"/>
                <w:szCs w:val="24"/>
                <w:lang w:val="ro-MO"/>
              </w:rPr>
            </w:pPr>
            <w:r w:rsidRPr="00D81ED7">
              <w:rPr>
                <w:sz w:val="24"/>
                <w:szCs w:val="24"/>
                <w:lang w:val="ro-MO"/>
              </w:rPr>
              <w:t xml:space="preserve">   În perioada septembrie-decembrie 2015, CNSM, cu suportul Confederației Sindicatelor din Olanda, a realizat un studio privind situația în Republica Moldova la capitolul acoperirea lucrătorilor informali cu sistemele de securitate social. Propunerile și recomandările </w:t>
            </w:r>
            <w:proofErr w:type="spellStart"/>
            <w:r w:rsidRPr="00D81ED7">
              <w:rPr>
                <w:sz w:val="24"/>
                <w:szCs w:val="24"/>
                <w:lang w:val="ro-MO"/>
              </w:rPr>
              <w:t>vizînd</w:t>
            </w:r>
            <w:proofErr w:type="spellEnd"/>
            <w:r w:rsidRPr="00D81ED7">
              <w:rPr>
                <w:sz w:val="24"/>
                <w:szCs w:val="24"/>
                <w:lang w:val="ro-MO"/>
              </w:rPr>
              <w:t xml:space="preserve"> extinderea securității sociale asupra lucrătorilor informali au fost editate într-o broșură și remisă instituțiilor și persoanelor interesate.</w:t>
            </w:r>
          </w:p>
          <w:p w:rsidR="0030563C" w:rsidRPr="0039739C" w:rsidRDefault="00990167" w:rsidP="0039739C">
            <w:pPr>
              <w:ind w:firstLine="317"/>
              <w:jc w:val="both"/>
              <w:rPr>
                <w:sz w:val="24"/>
                <w:szCs w:val="24"/>
                <w:lang w:val="ro-MO"/>
              </w:rPr>
            </w:pPr>
            <w:r w:rsidRPr="00D81ED7">
              <w:rPr>
                <w:sz w:val="24"/>
                <w:szCs w:val="24"/>
                <w:lang w:val="ro-MO"/>
              </w:rPr>
              <w:t xml:space="preserve">   În cadrul aceluiași proiect a fost elaborate un spot video despre consecințele negative ale muncii „la negru”. Acest spot</w:t>
            </w:r>
            <w:r w:rsidR="00D81ED7" w:rsidRPr="00D81ED7">
              <w:rPr>
                <w:sz w:val="24"/>
                <w:szCs w:val="24"/>
                <w:lang w:val="ro-MO"/>
              </w:rPr>
              <w:t xml:space="preserve"> a fost plasat pentru vizualizare la unele canale TV și în transportul public (troleibuze).</w:t>
            </w:r>
          </w:p>
        </w:tc>
      </w:tr>
      <w:tr w:rsidR="00C723FC" w:rsidRPr="0087426E" w:rsidTr="00507289">
        <w:tc>
          <w:tcPr>
            <w:tcW w:w="806" w:type="dxa"/>
          </w:tcPr>
          <w:p w:rsidR="00C723FC" w:rsidRPr="0087426E" w:rsidRDefault="00C723FC" w:rsidP="00E40040">
            <w:pPr>
              <w:jc w:val="center"/>
              <w:rPr>
                <w:lang w:val="ro-RO"/>
              </w:rPr>
            </w:pPr>
          </w:p>
        </w:tc>
        <w:tc>
          <w:tcPr>
            <w:tcW w:w="2421" w:type="dxa"/>
          </w:tcPr>
          <w:p w:rsidR="00C723FC" w:rsidRPr="0087426E" w:rsidRDefault="00C723FC" w:rsidP="00C723FC">
            <w:pPr>
              <w:rPr>
                <w:sz w:val="24"/>
                <w:szCs w:val="24"/>
                <w:lang w:val="ro-RO" w:eastAsia="ro-RO"/>
              </w:rPr>
            </w:pPr>
          </w:p>
        </w:tc>
        <w:tc>
          <w:tcPr>
            <w:tcW w:w="4678" w:type="dxa"/>
          </w:tcPr>
          <w:p w:rsidR="00C723FC" w:rsidRPr="0087426E" w:rsidRDefault="00C723FC" w:rsidP="00C723FC">
            <w:pPr>
              <w:rPr>
                <w:sz w:val="24"/>
                <w:szCs w:val="24"/>
                <w:lang w:val="ro-RO" w:eastAsia="ro-RO"/>
              </w:rPr>
            </w:pPr>
            <w:r w:rsidRPr="0087426E">
              <w:rPr>
                <w:sz w:val="24"/>
                <w:szCs w:val="24"/>
                <w:lang w:val="ro-RO" w:eastAsia="ro-RO"/>
              </w:rPr>
              <w:t xml:space="preserve">7.2. Popularizarea legislaţiei în vigoare în cadrul controalelor efectuate, cu explicarea contribuabililor (angajaţilor) despre necesitatea declarării corecte a bazei </w:t>
            </w:r>
            <w:r w:rsidRPr="0087426E">
              <w:rPr>
                <w:sz w:val="24"/>
                <w:szCs w:val="24"/>
                <w:lang w:val="ro-RO" w:eastAsia="ro-RO"/>
              </w:rPr>
              <w:lastRenderedPageBreak/>
              <w:t>impozabile şi a impozitului din salariu, a contribuţiilor în bugetul asigurărilor sociale de stat şi în fondurile asigurării obligatorii de asistenţă medicală şi impactul asupra mărimii pensiilor salariaţilor şi a altor forme de asistenţă socială</w:t>
            </w:r>
          </w:p>
        </w:tc>
        <w:tc>
          <w:tcPr>
            <w:tcW w:w="1417" w:type="dxa"/>
          </w:tcPr>
          <w:p w:rsidR="00C723FC" w:rsidRPr="0087426E" w:rsidRDefault="00C723FC" w:rsidP="00E40040">
            <w:pPr>
              <w:jc w:val="center"/>
              <w:rPr>
                <w:sz w:val="24"/>
                <w:szCs w:val="24"/>
                <w:lang w:val="ro-RO"/>
              </w:rPr>
            </w:pPr>
            <w:r w:rsidRPr="0087426E">
              <w:rPr>
                <w:sz w:val="24"/>
                <w:szCs w:val="24"/>
                <w:lang w:val="ro-RO"/>
              </w:rPr>
              <w:lastRenderedPageBreak/>
              <w:t>Permanent</w:t>
            </w:r>
          </w:p>
        </w:tc>
        <w:tc>
          <w:tcPr>
            <w:tcW w:w="1701" w:type="dxa"/>
          </w:tcPr>
          <w:p w:rsidR="00C723FC" w:rsidRPr="0087426E" w:rsidRDefault="00C723FC" w:rsidP="00C723FC">
            <w:pPr>
              <w:rPr>
                <w:sz w:val="24"/>
                <w:szCs w:val="24"/>
                <w:lang w:val="ro-RO" w:eastAsia="ro-RO"/>
              </w:rPr>
            </w:pPr>
            <w:r w:rsidRPr="0087426E">
              <w:rPr>
                <w:sz w:val="24"/>
                <w:szCs w:val="24"/>
                <w:lang w:val="ro-RO" w:eastAsia="ro-RO"/>
              </w:rPr>
              <w:t xml:space="preserve">Autorităţile publice, Confederaţia Naţională a </w:t>
            </w:r>
            <w:r w:rsidRPr="0087426E">
              <w:rPr>
                <w:sz w:val="24"/>
                <w:szCs w:val="24"/>
                <w:lang w:val="ro-RO" w:eastAsia="ro-RO"/>
              </w:rPr>
              <w:lastRenderedPageBreak/>
              <w:t>Sindicatelor, Confederaţia Naţională a Patronatelor, Casa Naţională de Asigurări Sociale, Compania Naţională de Asigurări în Medicină, Inspectoratul Fiscal Principal de Stat, Inspectoratul de Stat al Muncii</w:t>
            </w:r>
          </w:p>
        </w:tc>
        <w:tc>
          <w:tcPr>
            <w:tcW w:w="4755" w:type="dxa"/>
          </w:tcPr>
          <w:p w:rsidR="00675286" w:rsidRPr="0087426E" w:rsidRDefault="006A632B" w:rsidP="00BC3947">
            <w:pPr>
              <w:ind w:firstLine="317"/>
              <w:jc w:val="both"/>
              <w:rPr>
                <w:sz w:val="24"/>
                <w:szCs w:val="24"/>
                <w:lang w:val="ro-RO"/>
              </w:rPr>
            </w:pPr>
            <w:r>
              <w:rPr>
                <w:sz w:val="24"/>
                <w:szCs w:val="24"/>
                <w:lang w:val="ro-RO"/>
              </w:rPr>
              <w:lastRenderedPageBreak/>
              <w:t xml:space="preserve">   </w:t>
            </w:r>
            <w:r w:rsidR="00675286" w:rsidRPr="0087426E">
              <w:rPr>
                <w:sz w:val="24"/>
                <w:szCs w:val="24"/>
                <w:lang w:val="ro-RO"/>
              </w:rPr>
              <w:t xml:space="preserve">Popularizarea legislației în vigoare în cadrul controalelor efectuate este un proces permanent. În anul 2015 inspectorii de muncă au stabilit și consemnat 34,7mii încălcări în </w:t>
            </w:r>
            <w:r w:rsidR="00675286" w:rsidRPr="0087426E">
              <w:rPr>
                <w:sz w:val="24"/>
                <w:szCs w:val="24"/>
                <w:lang w:val="ro-RO"/>
              </w:rPr>
              <w:lastRenderedPageBreak/>
              <w:t>domeniul relațiilor de muncă și au emis prescripții de remediere a abaterilor de la prevederile actelor legislative și normative din domeniul muncii. Concomitent a fost acordat ajutor metodologic şi consultativ la peste 2mii cetăţeni.</w:t>
            </w:r>
          </w:p>
          <w:p w:rsidR="00675286" w:rsidRPr="0087426E" w:rsidRDefault="006A632B" w:rsidP="00BC3947">
            <w:pPr>
              <w:ind w:firstLine="317"/>
              <w:jc w:val="both"/>
              <w:rPr>
                <w:sz w:val="24"/>
                <w:szCs w:val="24"/>
                <w:lang w:val="ro-RO"/>
              </w:rPr>
            </w:pPr>
            <w:r>
              <w:rPr>
                <w:sz w:val="24"/>
                <w:szCs w:val="24"/>
                <w:lang w:val="ro-RO"/>
              </w:rPr>
              <w:t xml:space="preserve">   </w:t>
            </w:r>
            <w:r w:rsidR="00675286" w:rsidRPr="0087426E">
              <w:rPr>
                <w:sz w:val="24"/>
                <w:szCs w:val="24"/>
                <w:lang w:val="ro-RO"/>
              </w:rPr>
              <w:t xml:space="preserve">Inspectorii de muncă au adus la cunoștința cetăţenilor prevederile legislaţiei muncii în vigoare în cadrul </w:t>
            </w:r>
            <w:proofErr w:type="spellStart"/>
            <w:r w:rsidR="00675286" w:rsidRPr="0087426E">
              <w:rPr>
                <w:sz w:val="24"/>
                <w:szCs w:val="24"/>
                <w:lang w:val="ro-RO"/>
              </w:rPr>
              <w:t>Tîrgurilor</w:t>
            </w:r>
            <w:proofErr w:type="spellEnd"/>
            <w:r w:rsidR="00675286" w:rsidRPr="0087426E">
              <w:rPr>
                <w:sz w:val="24"/>
                <w:szCs w:val="24"/>
                <w:lang w:val="ro-RO"/>
              </w:rPr>
              <w:t xml:space="preserve"> locurilor de muncă, organizate şi desfăşurate prin intermediul Agenţiei Naţionale pentru Ocuparea Forţei de Muncă și în cadrul instruirii în domeniul muncii a angajatorilor şi reprezentaţilor săi, a colaboratorilor din domeniul public ş.a.</w:t>
            </w:r>
          </w:p>
          <w:p w:rsidR="0087426E" w:rsidRPr="0087426E" w:rsidRDefault="006A632B" w:rsidP="00BC3947">
            <w:pPr>
              <w:ind w:firstLine="317"/>
              <w:jc w:val="both"/>
              <w:rPr>
                <w:sz w:val="24"/>
                <w:szCs w:val="24"/>
                <w:lang w:val="ro-RO"/>
              </w:rPr>
            </w:pPr>
            <w:r>
              <w:rPr>
                <w:sz w:val="24"/>
                <w:szCs w:val="24"/>
                <w:lang w:val="ro-RO"/>
              </w:rPr>
              <w:t xml:space="preserve">   </w:t>
            </w:r>
            <w:r w:rsidR="00675286" w:rsidRPr="0087426E">
              <w:rPr>
                <w:sz w:val="24"/>
                <w:szCs w:val="24"/>
                <w:lang w:val="ro-RO"/>
              </w:rPr>
              <w:t xml:space="preserve">Totodată pe parcursul anului 2015 </w:t>
            </w:r>
            <w:r w:rsidR="00675286" w:rsidRPr="0087426E">
              <w:rPr>
                <w:color w:val="000000"/>
                <w:sz w:val="24"/>
                <w:szCs w:val="24"/>
                <w:lang w:val="ro-RO"/>
              </w:rPr>
              <w:t>inspectorii de muncă au organizat seminare pentru i</w:t>
            </w:r>
            <w:r w:rsidR="00675286" w:rsidRPr="0087426E">
              <w:rPr>
                <w:sz w:val="24"/>
                <w:szCs w:val="24"/>
                <w:lang w:val="ro-RO"/>
              </w:rPr>
              <w:t>nformarea tineretului studios privind relațiile de muncă, securitatea şi sănătatea în muncă. În cadrul întrunirilor, organizate cu colectivele de absolvenţi și cadrele didactice din 122 instituţii preuniversitare, despre prevederile legislaţiei muncii în vigoare au fost informaţi 3943 elevi.</w:t>
            </w:r>
          </w:p>
          <w:p w:rsidR="0087426E" w:rsidRDefault="006A632B" w:rsidP="00BC3947">
            <w:pPr>
              <w:ind w:firstLine="317"/>
              <w:jc w:val="both"/>
              <w:rPr>
                <w:sz w:val="24"/>
                <w:szCs w:val="24"/>
                <w:lang w:val="ro-RO"/>
              </w:rPr>
            </w:pPr>
            <w:r>
              <w:rPr>
                <w:sz w:val="24"/>
                <w:szCs w:val="24"/>
                <w:lang w:val="ro-RO"/>
              </w:rPr>
              <w:t xml:space="preserve">   </w:t>
            </w:r>
            <w:r w:rsidR="0087426E" w:rsidRPr="0087426E">
              <w:rPr>
                <w:sz w:val="24"/>
                <w:szCs w:val="24"/>
                <w:lang w:val="ro-RO"/>
              </w:rPr>
              <w:t xml:space="preserve">Pe perioada anului 2015 CNAM a evaluat 223 instituții medico-sanitare și farmaceutice. Se remarcă faptul, că în toate instituțiile evaluate, achitarea salariilor se efectuează prin intermediul </w:t>
            </w:r>
            <w:proofErr w:type="spellStart"/>
            <w:r w:rsidR="0087426E" w:rsidRPr="0087426E">
              <w:rPr>
                <w:sz w:val="24"/>
                <w:szCs w:val="24"/>
                <w:lang w:val="ro-RO"/>
              </w:rPr>
              <w:t>cardurilor</w:t>
            </w:r>
            <w:proofErr w:type="spellEnd"/>
            <w:r w:rsidR="0087426E" w:rsidRPr="0087426E">
              <w:rPr>
                <w:sz w:val="24"/>
                <w:szCs w:val="24"/>
                <w:lang w:val="ro-RO"/>
              </w:rPr>
              <w:t xml:space="preserve"> bancare, fiind la minim diminuate tranzacțiile cash, fapt ce asigură transparența în procesul de calculare și achitare a salariilor și diminuează riscul evaziunii fiscale.</w:t>
            </w:r>
          </w:p>
          <w:p w:rsidR="00C723FC" w:rsidRPr="0087426E" w:rsidRDefault="006A632B" w:rsidP="0039739C">
            <w:pPr>
              <w:ind w:firstLine="317"/>
              <w:jc w:val="both"/>
              <w:rPr>
                <w:sz w:val="24"/>
                <w:szCs w:val="24"/>
                <w:lang w:val="ro-RO"/>
              </w:rPr>
            </w:pPr>
            <w:r>
              <w:rPr>
                <w:sz w:val="24"/>
                <w:szCs w:val="24"/>
                <w:lang w:val="ro-RO"/>
              </w:rPr>
              <w:t xml:space="preserve">   </w:t>
            </w:r>
            <w:r w:rsidR="00EC58F8" w:rsidRPr="00EC58F8">
              <w:rPr>
                <w:sz w:val="24"/>
                <w:szCs w:val="24"/>
                <w:lang w:val="ro-RO"/>
              </w:rPr>
              <w:t xml:space="preserve">Despre necesitatea declarării corecte a contribuţiilor în bugetul asigurărilor sociale de stat, precum şi despre impactul, nemijlocit, al acestui fapt asupra viitoarelor prestaţii sociale </w:t>
            </w:r>
            <w:r w:rsidR="00EC58F8" w:rsidRPr="00EC58F8">
              <w:rPr>
                <w:sz w:val="24"/>
                <w:szCs w:val="24"/>
                <w:lang w:val="ro-RO"/>
              </w:rPr>
              <w:lastRenderedPageBreak/>
              <w:t xml:space="preserve">colaboratorii CNAS informează </w:t>
            </w:r>
            <w:proofErr w:type="spellStart"/>
            <w:r w:rsidR="00EC58F8" w:rsidRPr="00EC58F8">
              <w:rPr>
                <w:sz w:val="24"/>
                <w:szCs w:val="24"/>
                <w:lang w:val="ro-RO"/>
              </w:rPr>
              <w:t>atît</w:t>
            </w:r>
            <w:proofErr w:type="spellEnd"/>
            <w:r w:rsidR="00EC58F8" w:rsidRPr="00EC58F8">
              <w:rPr>
                <w:sz w:val="24"/>
                <w:szCs w:val="24"/>
                <w:lang w:val="ro-RO"/>
              </w:rPr>
              <w:t xml:space="preserve"> agenţii economici </w:t>
            </w:r>
            <w:proofErr w:type="spellStart"/>
            <w:r w:rsidR="00EC58F8" w:rsidRPr="00EC58F8">
              <w:rPr>
                <w:sz w:val="24"/>
                <w:szCs w:val="24"/>
                <w:lang w:val="ro-RO"/>
              </w:rPr>
              <w:t>cît</w:t>
            </w:r>
            <w:proofErr w:type="spellEnd"/>
            <w:r w:rsidR="00EC58F8" w:rsidRPr="00EC58F8">
              <w:rPr>
                <w:sz w:val="24"/>
                <w:szCs w:val="24"/>
                <w:lang w:val="ro-RO"/>
              </w:rPr>
              <w:t xml:space="preserve"> şi angajaţii în cadrul controalelor efectuate. Totodată, popularizarea acestui fapt are loc şi în cadrul expoziţiilor naţionale “Fabricat în Moldova” unde se organizează diverse seminare destinate agenţilor economici, la fel şi prin intermediul publicaţiilor periodice (site CNAS, ziarul “Asigurarea Socială). De asemenea, salariaţilor li se comunică despre necesitatea declarării corecte a contribuţiilor de asigurări sociale de stat în cadrul procesului de distribuire a parolelor de acces la contul curent</w:t>
            </w:r>
          </w:p>
        </w:tc>
      </w:tr>
      <w:tr w:rsidR="00C723FC" w:rsidRPr="0087426E" w:rsidTr="00507289">
        <w:tc>
          <w:tcPr>
            <w:tcW w:w="806" w:type="dxa"/>
          </w:tcPr>
          <w:p w:rsidR="00C723FC" w:rsidRPr="0087426E" w:rsidRDefault="00C723FC" w:rsidP="00E40040">
            <w:pPr>
              <w:jc w:val="center"/>
              <w:rPr>
                <w:lang w:val="ro-RO"/>
              </w:rPr>
            </w:pPr>
          </w:p>
        </w:tc>
        <w:tc>
          <w:tcPr>
            <w:tcW w:w="2421" w:type="dxa"/>
          </w:tcPr>
          <w:p w:rsidR="00C723FC" w:rsidRPr="0087426E" w:rsidRDefault="00C723FC" w:rsidP="00C723FC">
            <w:pPr>
              <w:rPr>
                <w:sz w:val="24"/>
                <w:szCs w:val="24"/>
                <w:lang w:val="ro-RO" w:eastAsia="ro-RO"/>
              </w:rPr>
            </w:pPr>
          </w:p>
        </w:tc>
        <w:tc>
          <w:tcPr>
            <w:tcW w:w="4678" w:type="dxa"/>
          </w:tcPr>
          <w:p w:rsidR="00C723FC" w:rsidRPr="0087426E" w:rsidRDefault="00C723FC" w:rsidP="00C723FC">
            <w:pPr>
              <w:rPr>
                <w:sz w:val="24"/>
                <w:szCs w:val="24"/>
                <w:lang w:val="ro-RO" w:eastAsia="ro-RO"/>
              </w:rPr>
            </w:pPr>
            <w:r w:rsidRPr="0087426E">
              <w:rPr>
                <w:sz w:val="24"/>
                <w:szCs w:val="24"/>
                <w:lang w:val="ro-RO" w:eastAsia="ro-RO"/>
              </w:rPr>
              <w:t xml:space="preserve">7.3. Organizarea seminarelor pentru studenţii instituţiilor de </w:t>
            </w:r>
            <w:proofErr w:type="spellStart"/>
            <w:r w:rsidRPr="0087426E">
              <w:rPr>
                <w:sz w:val="24"/>
                <w:szCs w:val="24"/>
                <w:lang w:val="ro-RO" w:eastAsia="ro-RO"/>
              </w:rPr>
              <w:t>învăţămînt</w:t>
            </w:r>
            <w:proofErr w:type="spellEnd"/>
            <w:r w:rsidRPr="0087426E">
              <w:rPr>
                <w:sz w:val="24"/>
                <w:szCs w:val="24"/>
                <w:lang w:val="ro-RO" w:eastAsia="ro-RO"/>
              </w:rPr>
              <w:t xml:space="preserve"> superior referitor la pericolul antrenării în escrocheriile fiscale, inclusiv prin angajarea cu nerespectarea legislaţiei în vigoare</w:t>
            </w:r>
          </w:p>
        </w:tc>
        <w:tc>
          <w:tcPr>
            <w:tcW w:w="1417" w:type="dxa"/>
          </w:tcPr>
          <w:p w:rsidR="00C723FC" w:rsidRPr="0087426E" w:rsidRDefault="00C723FC" w:rsidP="00E40040">
            <w:pPr>
              <w:jc w:val="center"/>
              <w:rPr>
                <w:sz w:val="24"/>
                <w:szCs w:val="24"/>
                <w:lang w:val="ro-RO"/>
              </w:rPr>
            </w:pPr>
            <w:r w:rsidRPr="0087426E">
              <w:rPr>
                <w:sz w:val="24"/>
                <w:szCs w:val="24"/>
                <w:lang w:val="ro-RO"/>
              </w:rPr>
              <w:t>2015-2017</w:t>
            </w:r>
          </w:p>
        </w:tc>
        <w:tc>
          <w:tcPr>
            <w:tcW w:w="1701" w:type="dxa"/>
          </w:tcPr>
          <w:p w:rsidR="00C723FC" w:rsidRPr="0087426E" w:rsidRDefault="00DE0363" w:rsidP="00C723FC">
            <w:pPr>
              <w:rPr>
                <w:sz w:val="24"/>
                <w:szCs w:val="24"/>
                <w:lang w:val="ro-RO" w:eastAsia="ro-RO"/>
              </w:rPr>
            </w:pPr>
            <w:r w:rsidRPr="0087426E">
              <w:rPr>
                <w:sz w:val="24"/>
                <w:szCs w:val="24"/>
                <w:lang w:val="ro-RO" w:eastAsia="ro-RO"/>
              </w:rPr>
              <w:t>I</w:t>
            </w:r>
            <w:r w:rsidR="00C723FC" w:rsidRPr="0087426E">
              <w:rPr>
                <w:sz w:val="24"/>
                <w:szCs w:val="24"/>
                <w:lang w:val="ro-RO" w:eastAsia="ro-RO"/>
              </w:rPr>
              <w:t>nspectoratul Fiscal Principal de Stat</w:t>
            </w:r>
          </w:p>
        </w:tc>
        <w:tc>
          <w:tcPr>
            <w:tcW w:w="4755" w:type="dxa"/>
          </w:tcPr>
          <w:p w:rsidR="00C723FC" w:rsidRDefault="001E3C3A" w:rsidP="00BC3947">
            <w:pPr>
              <w:ind w:firstLine="317"/>
              <w:jc w:val="both"/>
              <w:rPr>
                <w:sz w:val="24"/>
                <w:szCs w:val="24"/>
                <w:lang w:val="ro-RO"/>
              </w:rPr>
            </w:pPr>
            <w:r w:rsidRPr="001E3C3A">
              <w:rPr>
                <w:sz w:val="24"/>
                <w:szCs w:val="24"/>
                <w:lang w:val="ro-RO"/>
              </w:rPr>
              <w:t xml:space="preserve">     Pe parcursul anului 2015 au fost organizate 854 seminare informative cu participarea a 1900 agenți economici și 9545 persoane aflate în căutarea unui loc de muncă, care au abordat concomitent cu alte probleme analiza opțiunilor și recomandărilor speciale ce au  contribuit la combaterea fenomenului de ocupare informală și a salariilor în plic.</w:t>
            </w:r>
          </w:p>
          <w:p w:rsidR="0052704F" w:rsidRPr="001E3C3A" w:rsidRDefault="0052704F" w:rsidP="00BC3947">
            <w:pPr>
              <w:ind w:firstLine="317"/>
              <w:jc w:val="both"/>
              <w:rPr>
                <w:sz w:val="24"/>
                <w:szCs w:val="24"/>
                <w:lang w:val="ro-RO"/>
              </w:rPr>
            </w:pPr>
            <w:r>
              <w:rPr>
                <w:sz w:val="24"/>
                <w:szCs w:val="24"/>
                <w:lang w:val="ro-RO"/>
              </w:rPr>
              <w:t>M</w:t>
            </w:r>
            <w:r w:rsidR="001C6D9E">
              <w:rPr>
                <w:sz w:val="24"/>
                <w:szCs w:val="24"/>
                <w:lang w:val="ro-RO"/>
              </w:rPr>
              <w:t>inisterul Economiei informează despre faptul că,</w:t>
            </w:r>
            <w:r>
              <w:rPr>
                <w:sz w:val="24"/>
                <w:szCs w:val="24"/>
                <w:lang w:val="ro-RO"/>
              </w:rPr>
              <w:t xml:space="preserve"> </w:t>
            </w:r>
            <w:r w:rsidR="001C6D9E">
              <w:rPr>
                <w:sz w:val="24"/>
                <w:szCs w:val="24"/>
                <w:lang w:val="ro-RO"/>
              </w:rPr>
              <w:t>î</w:t>
            </w:r>
            <w:r>
              <w:rPr>
                <w:sz w:val="24"/>
                <w:szCs w:val="24"/>
                <w:lang w:val="ro-RO"/>
              </w:rPr>
              <w:t>ntru informarea salariaților despre avantajele activării în sectorul formal, prin intermediul Programului</w:t>
            </w:r>
            <w:r w:rsidR="004B6935">
              <w:rPr>
                <w:sz w:val="24"/>
                <w:szCs w:val="24"/>
                <w:lang w:val="ro-RO"/>
              </w:rPr>
              <w:t xml:space="preserve"> de instruire continuă „Gestiunea Eficientă a Afacerii” au fost organizate 16 seminare de instruire pentru 458 de tineri.</w:t>
            </w:r>
          </w:p>
        </w:tc>
      </w:tr>
    </w:tbl>
    <w:p w:rsidR="00E40040" w:rsidRPr="0087426E" w:rsidRDefault="00E40040" w:rsidP="00E40040">
      <w:pPr>
        <w:jc w:val="center"/>
        <w:rPr>
          <w:lang w:val="ro-RO"/>
        </w:rPr>
      </w:pPr>
    </w:p>
    <w:p w:rsidR="00464D6A" w:rsidRPr="0087426E" w:rsidRDefault="00464D6A" w:rsidP="00442CED">
      <w:pPr>
        <w:tabs>
          <w:tab w:val="left" w:pos="3612"/>
        </w:tabs>
        <w:rPr>
          <w:lang w:val="ro-RO"/>
        </w:rPr>
      </w:pPr>
    </w:p>
    <w:sectPr w:rsidR="00464D6A" w:rsidRPr="0087426E" w:rsidSect="0039739C">
      <w:footerReference w:type="default" r:id="rId13"/>
      <w:pgSz w:w="16838" w:h="11906" w:orient="landscape"/>
      <w:pgMar w:top="288" w:right="562" w:bottom="288" w:left="706"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73" w:rsidRDefault="003D6B73" w:rsidP="00445521">
      <w:r>
        <w:separator/>
      </w:r>
    </w:p>
  </w:endnote>
  <w:endnote w:type="continuationSeparator" w:id="0">
    <w:p w:rsidR="003D6B73" w:rsidRDefault="003D6B73" w:rsidP="0044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5346"/>
      <w:docPartObj>
        <w:docPartGallery w:val="Page Numbers (Bottom of Page)"/>
        <w:docPartUnique/>
      </w:docPartObj>
    </w:sdtPr>
    <w:sdtEndPr/>
    <w:sdtContent>
      <w:p w:rsidR="00D075E9" w:rsidRDefault="003D6B73">
        <w:pPr>
          <w:pStyle w:val="Footer"/>
          <w:jc w:val="right"/>
        </w:pPr>
        <w:r>
          <w:fldChar w:fldCharType="begin"/>
        </w:r>
        <w:r>
          <w:instrText xml:space="preserve"> PAGE   \* MERGEFORMAT </w:instrText>
        </w:r>
        <w:r>
          <w:fldChar w:fldCharType="separate"/>
        </w:r>
        <w:r w:rsidR="0039739C">
          <w:rPr>
            <w:noProof/>
          </w:rPr>
          <w:t>17</w:t>
        </w:r>
        <w:r>
          <w:rPr>
            <w:noProof/>
          </w:rPr>
          <w:fldChar w:fldCharType="end"/>
        </w:r>
      </w:p>
    </w:sdtContent>
  </w:sdt>
  <w:p w:rsidR="00D075E9" w:rsidRDefault="00D07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73" w:rsidRDefault="003D6B73" w:rsidP="00445521">
      <w:r>
        <w:separator/>
      </w:r>
    </w:p>
  </w:footnote>
  <w:footnote w:type="continuationSeparator" w:id="0">
    <w:p w:rsidR="003D6B73" w:rsidRDefault="003D6B73" w:rsidP="00445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1F01"/>
    <w:multiLevelType w:val="hybridMultilevel"/>
    <w:tmpl w:val="E0FEF530"/>
    <w:lvl w:ilvl="0" w:tplc="64C4116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BF73EE3"/>
    <w:multiLevelType w:val="multilevel"/>
    <w:tmpl w:val="79C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E6C3E"/>
    <w:multiLevelType w:val="hybridMultilevel"/>
    <w:tmpl w:val="A740D3F0"/>
    <w:lvl w:ilvl="0" w:tplc="64C4116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DD7850"/>
    <w:multiLevelType w:val="multilevel"/>
    <w:tmpl w:val="E15C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8D52D7"/>
    <w:multiLevelType w:val="multilevel"/>
    <w:tmpl w:val="7E3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2B110F"/>
    <w:multiLevelType w:val="hybridMultilevel"/>
    <w:tmpl w:val="30C8EE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7B06D9D"/>
    <w:multiLevelType w:val="hybridMultilevel"/>
    <w:tmpl w:val="DBF01510"/>
    <w:lvl w:ilvl="0" w:tplc="446C5434">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0D4E"/>
    <w:rsid w:val="00017F5C"/>
    <w:rsid w:val="00037ADA"/>
    <w:rsid w:val="00073E9F"/>
    <w:rsid w:val="00075E75"/>
    <w:rsid w:val="000A1B69"/>
    <w:rsid w:val="000F5FBD"/>
    <w:rsid w:val="001028FD"/>
    <w:rsid w:val="00107C7E"/>
    <w:rsid w:val="00113978"/>
    <w:rsid w:val="001318ED"/>
    <w:rsid w:val="00140E8A"/>
    <w:rsid w:val="00187CDB"/>
    <w:rsid w:val="001C69A4"/>
    <w:rsid w:val="001C6D9E"/>
    <w:rsid w:val="001D5E2A"/>
    <w:rsid w:val="001D626F"/>
    <w:rsid w:val="001E3C3A"/>
    <w:rsid w:val="001F4C54"/>
    <w:rsid w:val="00204C83"/>
    <w:rsid w:val="00207037"/>
    <w:rsid w:val="00216EF8"/>
    <w:rsid w:val="00217463"/>
    <w:rsid w:val="00231863"/>
    <w:rsid w:val="00236D7A"/>
    <w:rsid w:val="00250D28"/>
    <w:rsid w:val="00275E6B"/>
    <w:rsid w:val="00280E29"/>
    <w:rsid w:val="002A2CA8"/>
    <w:rsid w:val="002F7533"/>
    <w:rsid w:val="0030563C"/>
    <w:rsid w:val="00306DC6"/>
    <w:rsid w:val="00334CAE"/>
    <w:rsid w:val="00353077"/>
    <w:rsid w:val="00356B35"/>
    <w:rsid w:val="00383E3B"/>
    <w:rsid w:val="00386E51"/>
    <w:rsid w:val="00387A42"/>
    <w:rsid w:val="0039739C"/>
    <w:rsid w:val="003B3D16"/>
    <w:rsid w:val="003B499D"/>
    <w:rsid w:val="003D6B73"/>
    <w:rsid w:val="003E0074"/>
    <w:rsid w:val="00411254"/>
    <w:rsid w:val="0043071C"/>
    <w:rsid w:val="00442CED"/>
    <w:rsid w:val="00445521"/>
    <w:rsid w:val="00464D6A"/>
    <w:rsid w:val="00467868"/>
    <w:rsid w:val="00496256"/>
    <w:rsid w:val="004B6935"/>
    <w:rsid w:val="004D0D4E"/>
    <w:rsid w:val="004D2E47"/>
    <w:rsid w:val="004E7335"/>
    <w:rsid w:val="004F7513"/>
    <w:rsid w:val="00507289"/>
    <w:rsid w:val="00516B60"/>
    <w:rsid w:val="00517434"/>
    <w:rsid w:val="0052704F"/>
    <w:rsid w:val="005755A6"/>
    <w:rsid w:val="005C6D30"/>
    <w:rsid w:val="005F0147"/>
    <w:rsid w:val="005F7515"/>
    <w:rsid w:val="006470C7"/>
    <w:rsid w:val="00662A96"/>
    <w:rsid w:val="00675286"/>
    <w:rsid w:val="006766E0"/>
    <w:rsid w:val="006A632B"/>
    <w:rsid w:val="006C1F04"/>
    <w:rsid w:val="006F335F"/>
    <w:rsid w:val="007020C9"/>
    <w:rsid w:val="007253B0"/>
    <w:rsid w:val="007504EB"/>
    <w:rsid w:val="00761B3E"/>
    <w:rsid w:val="007636EC"/>
    <w:rsid w:val="00767A72"/>
    <w:rsid w:val="007714EA"/>
    <w:rsid w:val="00782FE3"/>
    <w:rsid w:val="00787B36"/>
    <w:rsid w:val="007B1432"/>
    <w:rsid w:val="007D6B1A"/>
    <w:rsid w:val="00803F92"/>
    <w:rsid w:val="0081031E"/>
    <w:rsid w:val="00820CE6"/>
    <w:rsid w:val="00821220"/>
    <w:rsid w:val="00842A56"/>
    <w:rsid w:val="008563D9"/>
    <w:rsid w:val="008675B6"/>
    <w:rsid w:val="00870ACD"/>
    <w:rsid w:val="0087426E"/>
    <w:rsid w:val="008A3DE4"/>
    <w:rsid w:val="008B5550"/>
    <w:rsid w:val="008C6B32"/>
    <w:rsid w:val="008F204D"/>
    <w:rsid w:val="00904FA2"/>
    <w:rsid w:val="00906834"/>
    <w:rsid w:val="00921DD3"/>
    <w:rsid w:val="00966D39"/>
    <w:rsid w:val="00971811"/>
    <w:rsid w:val="009775DD"/>
    <w:rsid w:val="00982D77"/>
    <w:rsid w:val="00990167"/>
    <w:rsid w:val="009B7D9D"/>
    <w:rsid w:val="009F4173"/>
    <w:rsid w:val="00A20007"/>
    <w:rsid w:val="00A21162"/>
    <w:rsid w:val="00A4276F"/>
    <w:rsid w:val="00A53A2D"/>
    <w:rsid w:val="00A62560"/>
    <w:rsid w:val="00AC29B3"/>
    <w:rsid w:val="00AD3D9E"/>
    <w:rsid w:val="00AF1215"/>
    <w:rsid w:val="00B001C0"/>
    <w:rsid w:val="00B46C13"/>
    <w:rsid w:val="00B55B62"/>
    <w:rsid w:val="00B8245B"/>
    <w:rsid w:val="00B94DE3"/>
    <w:rsid w:val="00BA5580"/>
    <w:rsid w:val="00BC3947"/>
    <w:rsid w:val="00BC4551"/>
    <w:rsid w:val="00BE2C43"/>
    <w:rsid w:val="00C05344"/>
    <w:rsid w:val="00C06642"/>
    <w:rsid w:val="00C21E87"/>
    <w:rsid w:val="00C40273"/>
    <w:rsid w:val="00C63587"/>
    <w:rsid w:val="00C723FC"/>
    <w:rsid w:val="00C75F7A"/>
    <w:rsid w:val="00C77C14"/>
    <w:rsid w:val="00C92E22"/>
    <w:rsid w:val="00CC2F7E"/>
    <w:rsid w:val="00CE0BB1"/>
    <w:rsid w:val="00D0046E"/>
    <w:rsid w:val="00D02E40"/>
    <w:rsid w:val="00D0489C"/>
    <w:rsid w:val="00D04AF6"/>
    <w:rsid w:val="00D075E9"/>
    <w:rsid w:val="00D1433A"/>
    <w:rsid w:val="00D31BA8"/>
    <w:rsid w:val="00D67527"/>
    <w:rsid w:val="00D81ED7"/>
    <w:rsid w:val="00D858E5"/>
    <w:rsid w:val="00DA7206"/>
    <w:rsid w:val="00DD424E"/>
    <w:rsid w:val="00DE0363"/>
    <w:rsid w:val="00E030C1"/>
    <w:rsid w:val="00E15D72"/>
    <w:rsid w:val="00E20A38"/>
    <w:rsid w:val="00E40040"/>
    <w:rsid w:val="00E5539B"/>
    <w:rsid w:val="00EA71FE"/>
    <w:rsid w:val="00EC090C"/>
    <w:rsid w:val="00EC58F8"/>
    <w:rsid w:val="00ED498F"/>
    <w:rsid w:val="00EE398E"/>
    <w:rsid w:val="00EF15B2"/>
    <w:rsid w:val="00FC5D85"/>
    <w:rsid w:val="00FD13D0"/>
    <w:rsid w:val="00FD2143"/>
    <w:rsid w:val="00FE0861"/>
    <w:rsid w:val="00FF18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EA"/>
    <w:pPr>
      <w:spacing w:after="0" w:line="240" w:lineRule="auto"/>
    </w:pPr>
    <w:rPr>
      <w:rFonts w:ascii="Times New Roman" w:eastAsia="Times New Roman" w:hAnsi="Times New Roman" w:cs="Times New Roman"/>
      <w:sz w:val="28"/>
      <w:szCs w:val="28"/>
      <w:lang w:val="fr-BE" w:eastAsia="ru-RU"/>
    </w:rPr>
  </w:style>
  <w:style w:type="paragraph" w:styleId="Heading1">
    <w:name w:val="heading 1"/>
    <w:basedOn w:val="Normal"/>
    <w:next w:val="Normal"/>
    <w:link w:val="Heading1Char"/>
    <w:uiPriority w:val="9"/>
    <w:qFormat/>
    <w:rsid w:val="00442CED"/>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uiPriority w:val="9"/>
    <w:qFormat/>
    <w:rsid w:val="00906834"/>
    <w:pPr>
      <w:spacing w:before="100" w:beforeAutospacing="1" w:after="100" w:afterAutospacing="1"/>
      <w:outlineLvl w:val="1"/>
    </w:pPr>
    <w:rPr>
      <w:b/>
      <w:bCs/>
      <w:sz w:val="36"/>
      <w:szCs w:val="3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834"/>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906834"/>
    <w:pPr>
      <w:spacing w:before="100" w:beforeAutospacing="1" w:after="100" w:afterAutospacing="1"/>
    </w:pPr>
    <w:rPr>
      <w:sz w:val="24"/>
      <w:szCs w:val="24"/>
      <w:lang w:val="ro-RO" w:eastAsia="ro-RO"/>
    </w:rPr>
  </w:style>
  <w:style w:type="character" w:styleId="Hyperlink">
    <w:name w:val="Hyperlink"/>
    <w:basedOn w:val="DefaultParagraphFont"/>
    <w:unhideWhenUsed/>
    <w:rsid w:val="001D626F"/>
    <w:rPr>
      <w:color w:val="0000FF"/>
      <w:u w:val="single"/>
    </w:rPr>
  </w:style>
  <w:style w:type="paragraph" w:styleId="BalloonText">
    <w:name w:val="Balloon Text"/>
    <w:basedOn w:val="Normal"/>
    <w:link w:val="BalloonTextChar"/>
    <w:uiPriority w:val="99"/>
    <w:semiHidden/>
    <w:unhideWhenUsed/>
    <w:rsid w:val="001D626F"/>
    <w:rPr>
      <w:rFonts w:ascii="Tahoma" w:hAnsi="Tahoma" w:cs="Tahoma"/>
      <w:sz w:val="16"/>
      <w:szCs w:val="16"/>
    </w:rPr>
  </w:style>
  <w:style w:type="character" w:customStyle="1" w:styleId="BalloonTextChar">
    <w:name w:val="Balloon Text Char"/>
    <w:basedOn w:val="DefaultParagraphFont"/>
    <w:link w:val="BalloonText"/>
    <w:uiPriority w:val="99"/>
    <w:semiHidden/>
    <w:rsid w:val="001D626F"/>
    <w:rPr>
      <w:rFonts w:ascii="Tahoma" w:hAnsi="Tahoma" w:cs="Tahoma"/>
      <w:sz w:val="16"/>
      <w:szCs w:val="16"/>
    </w:rPr>
  </w:style>
  <w:style w:type="table" w:styleId="TableGrid">
    <w:name w:val="Table Grid"/>
    <w:basedOn w:val="TableNormal"/>
    <w:uiPriority w:val="59"/>
    <w:rsid w:val="00820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20CE6"/>
    <w:pPr>
      <w:spacing w:after="200" w:line="276" w:lineRule="auto"/>
      <w:ind w:left="720"/>
      <w:contextualSpacing/>
    </w:pPr>
    <w:rPr>
      <w:rFonts w:asciiTheme="minorHAnsi" w:eastAsiaTheme="minorHAnsi" w:hAnsiTheme="minorHAnsi" w:cstheme="minorBidi"/>
      <w:sz w:val="22"/>
      <w:szCs w:val="22"/>
      <w:lang w:val="ro-RO" w:eastAsia="en-US"/>
    </w:rPr>
  </w:style>
  <w:style w:type="character" w:customStyle="1" w:styleId="apple-converted-space">
    <w:name w:val="apple-converted-space"/>
    <w:basedOn w:val="DefaultParagraphFont"/>
    <w:rsid w:val="00921DD3"/>
  </w:style>
  <w:style w:type="character" w:customStyle="1" w:styleId="Heading1Char">
    <w:name w:val="Heading 1 Char"/>
    <w:basedOn w:val="DefaultParagraphFont"/>
    <w:link w:val="Heading1"/>
    <w:uiPriority w:val="9"/>
    <w:rsid w:val="00442CED"/>
    <w:rPr>
      <w:rFonts w:asciiTheme="majorHAnsi" w:eastAsiaTheme="majorEastAsia" w:hAnsiTheme="majorHAnsi" w:cstheme="majorBidi"/>
      <w:b/>
      <w:bCs/>
      <w:color w:val="365F91" w:themeColor="accent1" w:themeShade="BF"/>
      <w:sz w:val="28"/>
      <w:szCs w:val="28"/>
      <w:lang w:val="fr-BE" w:eastAsia="ru-RU"/>
    </w:rPr>
  </w:style>
  <w:style w:type="paragraph" w:customStyle="1" w:styleId="tt">
    <w:name w:val="tt"/>
    <w:basedOn w:val="Normal"/>
    <w:rsid w:val="00507289"/>
    <w:pPr>
      <w:jc w:val="center"/>
    </w:pPr>
    <w:rPr>
      <w:b/>
      <w:bCs/>
      <w:sz w:val="24"/>
      <w:szCs w:val="24"/>
      <w:lang w:val="ru-RU"/>
    </w:rPr>
  </w:style>
  <w:style w:type="character" w:customStyle="1" w:styleId="BodyTextChar">
    <w:name w:val="Body Text Char"/>
    <w:basedOn w:val="DefaultParagraphFont"/>
    <w:link w:val="BodyText"/>
    <w:locked/>
    <w:rsid w:val="00EC58F8"/>
    <w:rPr>
      <w:sz w:val="24"/>
      <w:szCs w:val="24"/>
      <w:lang w:eastAsia="ro-RO"/>
    </w:rPr>
  </w:style>
  <w:style w:type="paragraph" w:styleId="BodyText">
    <w:name w:val="Body Text"/>
    <w:basedOn w:val="Normal"/>
    <w:link w:val="BodyTextChar"/>
    <w:rsid w:val="00EC58F8"/>
    <w:pPr>
      <w:spacing w:after="120"/>
    </w:pPr>
    <w:rPr>
      <w:rFonts w:asciiTheme="minorHAnsi" w:eastAsiaTheme="minorHAnsi" w:hAnsiTheme="minorHAnsi" w:cstheme="minorBidi"/>
      <w:sz w:val="24"/>
      <w:szCs w:val="24"/>
      <w:lang w:val="ro-RO" w:eastAsia="ro-RO"/>
    </w:rPr>
  </w:style>
  <w:style w:type="character" w:customStyle="1" w:styleId="CorptextCaracter1">
    <w:name w:val="Corp text Caracter1"/>
    <w:basedOn w:val="DefaultParagraphFont"/>
    <w:uiPriority w:val="99"/>
    <w:semiHidden/>
    <w:rsid w:val="00EC58F8"/>
    <w:rPr>
      <w:rFonts w:ascii="Times New Roman" w:eastAsia="Times New Roman" w:hAnsi="Times New Roman" w:cs="Times New Roman"/>
      <w:sz w:val="28"/>
      <w:szCs w:val="28"/>
      <w:lang w:val="fr-BE" w:eastAsia="ru-RU"/>
    </w:rPr>
  </w:style>
  <w:style w:type="paragraph" w:styleId="Header">
    <w:name w:val="header"/>
    <w:basedOn w:val="Normal"/>
    <w:link w:val="HeaderChar"/>
    <w:uiPriority w:val="99"/>
    <w:semiHidden/>
    <w:unhideWhenUsed/>
    <w:rsid w:val="00445521"/>
    <w:pPr>
      <w:tabs>
        <w:tab w:val="center" w:pos="4677"/>
        <w:tab w:val="right" w:pos="9355"/>
      </w:tabs>
    </w:pPr>
  </w:style>
  <w:style w:type="character" w:customStyle="1" w:styleId="HeaderChar">
    <w:name w:val="Header Char"/>
    <w:basedOn w:val="DefaultParagraphFont"/>
    <w:link w:val="Header"/>
    <w:uiPriority w:val="99"/>
    <w:semiHidden/>
    <w:rsid w:val="00445521"/>
    <w:rPr>
      <w:rFonts w:ascii="Times New Roman" w:eastAsia="Times New Roman" w:hAnsi="Times New Roman" w:cs="Times New Roman"/>
      <w:sz w:val="28"/>
      <w:szCs w:val="28"/>
      <w:lang w:val="fr-BE" w:eastAsia="ru-RU"/>
    </w:rPr>
  </w:style>
  <w:style w:type="paragraph" w:styleId="Footer">
    <w:name w:val="footer"/>
    <w:basedOn w:val="Normal"/>
    <w:link w:val="FooterChar"/>
    <w:uiPriority w:val="99"/>
    <w:unhideWhenUsed/>
    <w:rsid w:val="00445521"/>
    <w:pPr>
      <w:tabs>
        <w:tab w:val="center" w:pos="4677"/>
        <w:tab w:val="right" w:pos="9355"/>
      </w:tabs>
    </w:pPr>
  </w:style>
  <w:style w:type="character" w:customStyle="1" w:styleId="FooterChar">
    <w:name w:val="Footer Char"/>
    <w:basedOn w:val="DefaultParagraphFont"/>
    <w:link w:val="Footer"/>
    <w:uiPriority w:val="99"/>
    <w:rsid w:val="00445521"/>
    <w:rPr>
      <w:rFonts w:ascii="Times New Roman" w:eastAsia="Times New Roman" w:hAnsi="Times New Roman" w:cs="Times New Roman"/>
      <w:sz w:val="28"/>
      <w:szCs w:val="28"/>
      <w:lang w:val="fr-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9079">
      <w:bodyDiv w:val="1"/>
      <w:marLeft w:val="0"/>
      <w:marRight w:val="0"/>
      <w:marTop w:val="0"/>
      <w:marBottom w:val="0"/>
      <w:divBdr>
        <w:top w:val="none" w:sz="0" w:space="0" w:color="auto"/>
        <w:left w:val="none" w:sz="0" w:space="0" w:color="auto"/>
        <w:bottom w:val="none" w:sz="0" w:space="0" w:color="auto"/>
        <w:right w:val="none" w:sz="0" w:space="0" w:color="auto"/>
      </w:divBdr>
    </w:div>
    <w:div w:id="128911396">
      <w:bodyDiv w:val="1"/>
      <w:marLeft w:val="0"/>
      <w:marRight w:val="0"/>
      <w:marTop w:val="0"/>
      <w:marBottom w:val="0"/>
      <w:divBdr>
        <w:top w:val="none" w:sz="0" w:space="0" w:color="auto"/>
        <w:left w:val="none" w:sz="0" w:space="0" w:color="auto"/>
        <w:bottom w:val="none" w:sz="0" w:space="0" w:color="auto"/>
        <w:right w:val="none" w:sz="0" w:space="0" w:color="auto"/>
      </w:divBdr>
    </w:div>
    <w:div w:id="147288048">
      <w:bodyDiv w:val="1"/>
      <w:marLeft w:val="0"/>
      <w:marRight w:val="0"/>
      <w:marTop w:val="0"/>
      <w:marBottom w:val="0"/>
      <w:divBdr>
        <w:top w:val="none" w:sz="0" w:space="0" w:color="auto"/>
        <w:left w:val="none" w:sz="0" w:space="0" w:color="auto"/>
        <w:bottom w:val="none" w:sz="0" w:space="0" w:color="auto"/>
        <w:right w:val="none" w:sz="0" w:space="0" w:color="auto"/>
      </w:divBdr>
    </w:div>
    <w:div w:id="168957827">
      <w:bodyDiv w:val="1"/>
      <w:marLeft w:val="0"/>
      <w:marRight w:val="0"/>
      <w:marTop w:val="0"/>
      <w:marBottom w:val="0"/>
      <w:divBdr>
        <w:top w:val="none" w:sz="0" w:space="0" w:color="auto"/>
        <w:left w:val="none" w:sz="0" w:space="0" w:color="auto"/>
        <w:bottom w:val="none" w:sz="0" w:space="0" w:color="auto"/>
        <w:right w:val="none" w:sz="0" w:space="0" w:color="auto"/>
      </w:divBdr>
    </w:div>
    <w:div w:id="221135098">
      <w:bodyDiv w:val="1"/>
      <w:marLeft w:val="0"/>
      <w:marRight w:val="0"/>
      <w:marTop w:val="0"/>
      <w:marBottom w:val="0"/>
      <w:divBdr>
        <w:top w:val="none" w:sz="0" w:space="0" w:color="auto"/>
        <w:left w:val="none" w:sz="0" w:space="0" w:color="auto"/>
        <w:bottom w:val="none" w:sz="0" w:space="0" w:color="auto"/>
        <w:right w:val="none" w:sz="0" w:space="0" w:color="auto"/>
      </w:divBdr>
    </w:div>
    <w:div w:id="252588438">
      <w:bodyDiv w:val="1"/>
      <w:marLeft w:val="0"/>
      <w:marRight w:val="0"/>
      <w:marTop w:val="0"/>
      <w:marBottom w:val="0"/>
      <w:divBdr>
        <w:top w:val="none" w:sz="0" w:space="0" w:color="auto"/>
        <w:left w:val="none" w:sz="0" w:space="0" w:color="auto"/>
        <w:bottom w:val="none" w:sz="0" w:space="0" w:color="auto"/>
        <w:right w:val="none" w:sz="0" w:space="0" w:color="auto"/>
      </w:divBdr>
    </w:div>
    <w:div w:id="299581191">
      <w:bodyDiv w:val="1"/>
      <w:marLeft w:val="0"/>
      <w:marRight w:val="0"/>
      <w:marTop w:val="0"/>
      <w:marBottom w:val="0"/>
      <w:divBdr>
        <w:top w:val="none" w:sz="0" w:space="0" w:color="auto"/>
        <w:left w:val="none" w:sz="0" w:space="0" w:color="auto"/>
        <w:bottom w:val="none" w:sz="0" w:space="0" w:color="auto"/>
        <w:right w:val="none" w:sz="0" w:space="0" w:color="auto"/>
      </w:divBdr>
    </w:div>
    <w:div w:id="343241533">
      <w:bodyDiv w:val="1"/>
      <w:marLeft w:val="0"/>
      <w:marRight w:val="0"/>
      <w:marTop w:val="0"/>
      <w:marBottom w:val="0"/>
      <w:divBdr>
        <w:top w:val="none" w:sz="0" w:space="0" w:color="auto"/>
        <w:left w:val="none" w:sz="0" w:space="0" w:color="auto"/>
        <w:bottom w:val="none" w:sz="0" w:space="0" w:color="auto"/>
        <w:right w:val="none" w:sz="0" w:space="0" w:color="auto"/>
      </w:divBdr>
    </w:div>
    <w:div w:id="348990073">
      <w:bodyDiv w:val="1"/>
      <w:marLeft w:val="0"/>
      <w:marRight w:val="0"/>
      <w:marTop w:val="0"/>
      <w:marBottom w:val="0"/>
      <w:divBdr>
        <w:top w:val="none" w:sz="0" w:space="0" w:color="auto"/>
        <w:left w:val="none" w:sz="0" w:space="0" w:color="auto"/>
        <w:bottom w:val="none" w:sz="0" w:space="0" w:color="auto"/>
        <w:right w:val="none" w:sz="0" w:space="0" w:color="auto"/>
      </w:divBdr>
    </w:div>
    <w:div w:id="380373652">
      <w:bodyDiv w:val="1"/>
      <w:marLeft w:val="0"/>
      <w:marRight w:val="0"/>
      <w:marTop w:val="0"/>
      <w:marBottom w:val="0"/>
      <w:divBdr>
        <w:top w:val="none" w:sz="0" w:space="0" w:color="auto"/>
        <w:left w:val="none" w:sz="0" w:space="0" w:color="auto"/>
        <w:bottom w:val="none" w:sz="0" w:space="0" w:color="auto"/>
        <w:right w:val="none" w:sz="0" w:space="0" w:color="auto"/>
      </w:divBdr>
    </w:div>
    <w:div w:id="530731898">
      <w:bodyDiv w:val="1"/>
      <w:marLeft w:val="0"/>
      <w:marRight w:val="0"/>
      <w:marTop w:val="0"/>
      <w:marBottom w:val="0"/>
      <w:divBdr>
        <w:top w:val="none" w:sz="0" w:space="0" w:color="auto"/>
        <w:left w:val="none" w:sz="0" w:space="0" w:color="auto"/>
        <w:bottom w:val="none" w:sz="0" w:space="0" w:color="auto"/>
        <w:right w:val="none" w:sz="0" w:space="0" w:color="auto"/>
      </w:divBdr>
    </w:div>
    <w:div w:id="679696327">
      <w:bodyDiv w:val="1"/>
      <w:marLeft w:val="0"/>
      <w:marRight w:val="0"/>
      <w:marTop w:val="0"/>
      <w:marBottom w:val="0"/>
      <w:divBdr>
        <w:top w:val="none" w:sz="0" w:space="0" w:color="auto"/>
        <w:left w:val="none" w:sz="0" w:space="0" w:color="auto"/>
        <w:bottom w:val="none" w:sz="0" w:space="0" w:color="auto"/>
        <w:right w:val="none" w:sz="0" w:space="0" w:color="auto"/>
      </w:divBdr>
    </w:div>
    <w:div w:id="720707898">
      <w:bodyDiv w:val="1"/>
      <w:marLeft w:val="0"/>
      <w:marRight w:val="0"/>
      <w:marTop w:val="0"/>
      <w:marBottom w:val="0"/>
      <w:divBdr>
        <w:top w:val="none" w:sz="0" w:space="0" w:color="auto"/>
        <w:left w:val="none" w:sz="0" w:space="0" w:color="auto"/>
        <w:bottom w:val="none" w:sz="0" w:space="0" w:color="auto"/>
        <w:right w:val="none" w:sz="0" w:space="0" w:color="auto"/>
      </w:divBdr>
    </w:div>
    <w:div w:id="728380628">
      <w:bodyDiv w:val="1"/>
      <w:marLeft w:val="0"/>
      <w:marRight w:val="0"/>
      <w:marTop w:val="0"/>
      <w:marBottom w:val="0"/>
      <w:divBdr>
        <w:top w:val="none" w:sz="0" w:space="0" w:color="auto"/>
        <w:left w:val="none" w:sz="0" w:space="0" w:color="auto"/>
        <w:bottom w:val="none" w:sz="0" w:space="0" w:color="auto"/>
        <w:right w:val="none" w:sz="0" w:space="0" w:color="auto"/>
      </w:divBdr>
    </w:div>
    <w:div w:id="743338193">
      <w:bodyDiv w:val="1"/>
      <w:marLeft w:val="0"/>
      <w:marRight w:val="0"/>
      <w:marTop w:val="0"/>
      <w:marBottom w:val="0"/>
      <w:divBdr>
        <w:top w:val="none" w:sz="0" w:space="0" w:color="auto"/>
        <w:left w:val="none" w:sz="0" w:space="0" w:color="auto"/>
        <w:bottom w:val="none" w:sz="0" w:space="0" w:color="auto"/>
        <w:right w:val="none" w:sz="0" w:space="0" w:color="auto"/>
      </w:divBdr>
    </w:div>
    <w:div w:id="913516755">
      <w:bodyDiv w:val="1"/>
      <w:marLeft w:val="0"/>
      <w:marRight w:val="0"/>
      <w:marTop w:val="0"/>
      <w:marBottom w:val="0"/>
      <w:divBdr>
        <w:top w:val="none" w:sz="0" w:space="0" w:color="auto"/>
        <w:left w:val="none" w:sz="0" w:space="0" w:color="auto"/>
        <w:bottom w:val="none" w:sz="0" w:space="0" w:color="auto"/>
        <w:right w:val="none" w:sz="0" w:space="0" w:color="auto"/>
      </w:divBdr>
    </w:div>
    <w:div w:id="914315945">
      <w:bodyDiv w:val="1"/>
      <w:marLeft w:val="0"/>
      <w:marRight w:val="0"/>
      <w:marTop w:val="0"/>
      <w:marBottom w:val="0"/>
      <w:divBdr>
        <w:top w:val="none" w:sz="0" w:space="0" w:color="auto"/>
        <w:left w:val="none" w:sz="0" w:space="0" w:color="auto"/>
        <w:bottom w:val="none" w:sz="0" w:space="0" w:color="auto"/>
        <w:right w:val="none" w:sz="0" w:space="0" w:color="auto"/>
      </w:divBdr>
    </w:div>
    <w:div w:id="951133799">
      <w:bodyDiv w:val="1"/>
      <w:marLeft w:val="0"/>
      <w:marRight w:val="0"/>
      <w:marTop w:val="0"/>
      <w:marBottom w:val="0"/>
      <w:divBdr>
        <w:top w:val="none" w:sz="0" w:space="0" w:color="auto"/>
        <w:left w:val="none" w:sz="0" w:space="0" w:color="auto"/>
        <w:bottom w:val="none" w:sz="0" w:space="0" w:color="auto"/>
        <w:right w:val="none" w:sz="0" w:space="0" w:color="auto"/>
      </w:divBdr>
    </w:div>
    <w:div w:id="1149402267">
      <w:bodyDiv w:val="1"/>
      <w:marLeft w:val="0"/>
      <w:marRight w:val="0"/>
      <w:marTop w:val="0"/>
      <w:marBottom w:val="0"/>
      <w:divBdr>
        <w:top w:val="none" w:sz="0" w:space="0" w:color="auto"/>
        <w:left w:val="none" w:sz="0" w:space="0" w:color="auto"/>
        <w:bottom w:val="none" w:sz="0" w:space="0" w:color="auto"/>
        <w:right w:val="none" w:sz="0" w:space="0" w:color="auto"/>
      </w:divBdr>
    </w:div>
    <w:div w:id="1228416160">
      <w:bodyDiv w:val="1"/>
      <w:marLeft w:val="0"/>
      <w:marRight w:val="0"/>
      <w:marTop w:val="0"/>
      <w:marBottom w:val="0"/>
      <w:divBdr>
        <w:top w:val="none" w:sz="0" w:space="0" w:color="auto"/>
        <w:left w:val="none" w:sz="0" w:space="0" w:color="auto"/>
        <w:bottom w:val="none" w:sz="0" w:space="0" w:color="auto"/>
        <w:right w:val="none" w:sz="0" w:space="0" w:color="auto"/>
      </w:divBdr>
    </w:div>
    <w:div w:id="1236432980">
      <w:bodyDiv w:val="1"/>
      <w:marLeft w:val="0"/>
      <w:marRight w:val="0"/>
      <w:marTop w:val="0"/>
      <w:marBottom w:val="0"/>
      <w:divBdr>
        <w:top w:val="none" w:sz="0" w:space="0" w:color="auto"/>
        <w:left w:val="none" w:sz="0" w:space="0" w:color="auto"/>
        <w:bottom w:val="none" w:sz="0" w:space="0" w:color="auto"/>
        <w:right w:val="none" w:sz="0" w:space="0" w:color="auto"/>
      </w:divBdr>
    </w:div>
    <w:div w:id="1283611066">
      <w:bodyDiv w:val="1"/>
      <w:marLeft w:val="0"/>
      <w:marRight w:val="0"/>
      <w:marTop w:val="0"/>
      <w:marBottom w:val="0"/>
      <w:divBdr>
        <w:top w:val="none" w:sz="0" w:space="0" w:color="auto"/>
        <w:left w:val="none" w:sz="0" w:space="0" w:color="auto"/>
        <w:bottom w:val="none" w:sz="0" w:space="0" w:color="auto"/>
        <w:right w:val="none" w:sz="0" w:space="0" w:color="auto"/>
      </w:divBdr>
    </w:div>
    <w:div w:id="1289967997">
      <w:bodyDiv w:val="1"/>
      <w:marLeft w:val="0"/>
      <w:marRight w:val="0"/>
      <w:marTop w:val="0"/>
      <w:marBottom w:val="0"/>
      <w:divBdr>
        <w:top w:val="none" w:sz="0" w:space="0" w:color="auto"/>
        <w:left w:val="none" w:sz="0" w:space="0" w:color="auto"/>
        <w:bottom w:val="none" w:sz="0" w:space="0" w:color="auto"/>
        <w:right w:val="none" w:sz="0" w:space="0" w:color="auto"/>
      </w:divBdr>
    </w:div>
    <w:div w:id="1307473576">
      <w:bodyDiv w:val="1"/>
      <w:marLeft w:val="0"/>
      <w:marRight w:val="0"/>
      <w:marTop w:val="0"/>
      <w:marBottom w:val="0"/>
      <w:divBdr>
        <w:top w:val="none" w:sz="0" w:space="0" w:color="auto"/>
        <w:left w:val="none" w:sz="0" w:space="0" w:color="auto"/>
        <w:bottom w:val="none" w:sz="0" w:space="0" w:color="auto"/>
        <w:right w:val="none" w:sz="0" w:space="0" w:color="auto"/>
      </w:divBdr>
    </w:div>
    <w:div w:id="1371103077">
      <w:bodyDiv w:val="1"/>
      <w:marLeft w:val="0"/>
      <w:marRight w:val="0"/>
      <w:marTop w:val="0"/>
      <w:marBottom w:val="0"/>
      <w:divBdr>
        <w:top w:val="none" w:sz="0" w:space="0" w:color="auto"/>
        <w:left w:val="none" w:sz="0" w:space="0" w:color="auto"/>
        <w:bottom w:val="none" w:sz="0" w:space="0" w:color="auto"/>
        <w:right w:val="none" w:sz="0" w:space="0" w:color="auto"/>
      </w:divBdr>
    </w:div>
    <w:div w:id="1373578505">
      <w:bodyDiv w:val="1"/>
      <w:marLeft w:val="0"/>
      <w:marRight w:val="0"/>
      <w:marTop w:val="0"/>
      <w:marBottom w:val="0"/>
      <w:divBdr>
        <w:top w:val="none" w:sz="0" w:space="0" w:color="auto"/>
        <w:left w:val="none" w:sz="0" w:space="0" w:color="auto"/>
        <w:bottom w:val="none" w:sz="0" w:space="0" w:color="auto"/>
        <w:right w:val="none" w:sz="0" w:space="0" w:color="auto"/>
      </w:divBdr>
    </w:div>
    <w:div w:id="1401169757">
      <w:bodyDiv w:val="1"/>
      <w:marLeft w:val="0"/>
      <w:marRight w:val="0"/>
      <w:marTop w:val="0"/>
      <w:marBottom w:val="0"/>
      <w:divBdr>
        <w:top w:val="none" w:sz="0" w:space="0" w:color="auto"/>
        <w:left w:val="none" w:sz="0" w:space="0" w:color="auto"/>
        <w:bottom w:val="none" w:sz="0" w:space="0" w:color="auto"/>
        <w:right w:val="none" w:sz="0" w:space="0" w:color="auto"/>
      </w:divBdr>
    </w:div>
    <w:div w:id="1425153203">
      <w:bodyDiv w:val="1"/>
      <w:marLeft w:val="0"/>
      <w:marRight w:val="0"/>
      <w:marTop w:val="0"/>
      <w:marBottom w:val="0"/>
      <w:divBdr>
        <w:top w:val="none" w:sz="0" w:space="0" w:color="auto"/>
        <w:left w:val="none" w:sz="0" w:space="0" w:color="auto"/>
        <w:bottom w:val="none" w:sz="0" w:space="0" w:color="auto"/>
        <w:right w:val="none" w:sz="0" w:space="0" w:color="auto"/>
      </w:divBdr>
    </w:div>
    <w:div w:id="1559626593">
      <w:bodyDiv w:val="1"/>
      <w:marLeft w:val="0"/>
      <w:marRight w:val="0"/>
      <w:marTop w:val="0"/>
      <w:marBottom w:val="0"/>
      <w:divBdr>
        <w:top w:val="none" w:sz="0" w:space="0" w:color="auto"/>
        <w:left w:val="none" w:sz="0" w:space="0" w:color="auto"/>
        <w:bottom w:val="none" w:sz="0" w:space="0" w:color="auto"/>
        <w:right w:val="none" w:sz="0" w:space="0" w:color="auto"/>
      </w:divBdr>
    </w:div>
    <w:div w:id="1565291488">
      <w:bodyDiv w:val="1"/>
      <w:marLeft w:val="0"/>
      <w:marRight w:val="0"/>
      <w:marTop w:val="0"/>
      <w:marBottom w:val="0"/>
      <w:divBdr>
        <w:top w:val="none" w:sz="0" w:space="0" w:color="auto"/>
        <w:left w:val="none" w:sz="0" w:space="0" w:color="auto"/>
        <w:bottom w:val="none" w:sz="0" w:space="0" w:color="auto"/>
        <w:right w:val="none" w:sz="0" w:space="0" w:color="auto"/>
      </w:divBdr>
    </w:div>
    <w:div w:id="1585525700">
      <w:bodyDiv w:val="1"/>
      <w:marLeft w:val="0"/>
      <w:marRight w:val="0"/>
      <w:marTop w:val="0"/>
      <w:marBottom w:val="0"/>
      <w:divBdr>
        <w:top w:val="none" w:sz="0" w:space="0" w:color="auto"/>
        <w:left w:val="none" w:sz="0" w:space="0" w:color="auto"/>
        <w:bottom w:val="none" w:sz="0" w:space="0" w:color="auto"/>
        <w:right w:val="none" w:sz="0" w:space="0" w:color="auto"/>
      </w:divBdr>
      <w:divsChild>
        <w:div w:id="1899708213">
          <w:marLeft w:val="936"/>
          <w:marRight w:val="1296"/>
          <w:marTop w:val="24"/>
          <w:marBottom w:val="0"/>
          <w:divBdr>
            <w:top w:val="none" w:sz="0" w:space="0" w:color="auto"/>
            <w:left w:val="none" w:sz="0" w:space="0" w:color="auto"/>
            <w:bottom w:val="none" w:sz="0" w:space="0" w:color="auto"/>
            <w:right w:val="none" w:sz="0" w:space="0" w:color="auto"/>
          </w:divBdr>
          <w:divsChild>
            <w:div w:id="85611859">
              <w:marLeft w:val="0"/>
              <w:marRight w:val="0"/>
              <w:marTop w:val="0"/>
              <w:marBottom w:val="0"/>
              <w:divBdr>
                <w:top w:val="none" w:sz="0" w:space="0" w:color="auto"/>
                <w:left w:val="none" w:sz="0" w:space="0" w:color="auto"/>
                <w:bottom w:val="none" w:sz="0" w:space="0" w:color="auto"/>
                <w:right w:val="none" w:sz="0" w:space="0" w:color="auto"/>
              </w:divBdr>
              <w:divsChild>
                <w:div w:id="1231424726">
                  <w:marLeft w:val="0"/>
                  <w:marRight w:val="0"/>
                  <w:marTop w:val="0"/>
                  <w:marBottom w:val="0"/>
                  <w:divBdr>
                    <w:top w:val="none" w:sz="0" w:space="0" w:color="auto"/>
                    <w:left w:val="none" w:sz="0" w:space="0" w:color="auto"/>
                    <w:bottom w:val="none" w:sz="0" w:space="0" w:color="auto"/>
                    <w:right w:val="none" w:sz="0" w:space="0" w:color="auto"/>
                  </w:divBdr>
                  <w:divsChild>
                    <w:div w:id="1698844502">
                      <w:marLeft w:val="0"/>
                      <w:marRight w:val="0"/>
                      <w:marTop w:val="0"/>
                      <w:marBottom w:val="0"/>
                      <w:divBdr>
                        <w:top w:val="none" w:sz="0" w:space="0" w:color="auto"/>
                        <w:left w:val="none" w:sz="0" w:space="0" w:color="auto"/>
                        <w:bottom w:val="none" w:sz="0" w:space="0" w:color="auto"/>
                        <w:right w:val="none" w:sz="0" w:space="0" w:color="auto"/>
                      </w:divBdr>
                      <w:divsChild>
                        <w:div w:id="832141637">
                          <w:marLeft w:val="0"/>
                          <w:marRight w:val="0"/>
                          <w:marTop w:val="0"/>
                          <w:marBottom w:val="0"/>
                          <w:divBdr>
                            <w:top w:val="none" w:sz="0" w:space="0" w:color="auto"/>
                            <w:left w:val="none" w:sz="0" w:space="0" w:color="auto"/>
                            <w:bottom w:val="none" w:sz="0" w:space="0" w:color="auto"/>
                            <w:right w:val="none" w:sz="0" w:space="0" w:color="auto"/>
                          </w:divBdr>
                        </w:div>
                      </w:divsChild>
                    </w:div>
                    <w:div w:id="804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2740">
          <w:marLeft w:val="936"/>
          <w:marRight w:val="1296"/>
          <w:marTop w:val="24"/>
          <w:marBottom w:val="0"/>
          <w:divBdr>
            <w:top w:val="none" w:sz="0" w:space="0" w:color="auto"/>
            <w:left w:val="none" w:sz="0" w:space="0" w:color="auto"/>
            <w:bottom w:val="none" w:sz="0" w:space="0" w:color="auto"/>
            <w:right w:val="none" w:sz="0" w:space="0" w:color="auto"/>
          </w:divBdr>
          <w:divsChild>
            <w:div w:id="447546604">
              <w:marLeft w:val="0"/>
              <w:marRight w:val="0"/>
              <w:marTop w:val="0"/>
              <w:marBottom w:val="0"/>
              <w:divBdr>
                <w:top w:val="none" w:sz="0" w:space="0" w:color="auto"/>
                <w:left w:val="none" w:sz="0" w:space="0" w:color="auto"/>
                <w:bottom w:val="none" w:sz="0" w:space="0" w:color="auto"/>
                <w:right w:val="none" w:sz="0" w:space="0" w:color="auto"/>
              </w:divBdr>
              <w:divsChild>
                <w:div w:id="1907104401">
                  <w:marLeft w:val="0"/>
                  <w:marRight w:val="0"/>
                  <w:marTop w:val="0"/>
                  <w:marBottom w:val="0"/>
                  <w:divBdr>
                    <w:top w:val="none" w:sz="0" w:space="0" w:color="auto"/>
                    <w:left w:val="none" w:sz="0" w:space="0" w:color="auto"/>
                    <w:bottom w:val="none" w:sz="0" w:space="0" w:color="auto"/>
                    <w:right w:val="none" w:sz="0" w:space="0" w:color="auto"/>
                  </w:divBdr>
                  <w:divsChild>
                    <w:div w:id="1716080034">
                      <w:marLeft w:val="0"/>
                      <w:marRight w:val="0"/>
                      <w:marTop w:val="0"/>
                      <w:marBottom w:val="0"/>
                      <w:divBdr>
                        <w:top w:val="none" w:sz="0" w:space="0" w:color="auto"/>
                        <w:left w:val="none" w:sz="0" w:space="0" w:color="auto"/>
                        <w:bottom w:val="none" w:sz="0" w:space="0" w:color="auto"/>
                        <w:right w:val="none" w:sz="0" w:space="0" w:color="auto"/>
                      </w:divBdr>
                    </w:div>
                  </w:divsChild>
                </w:div>
                <w:div w:id="1673098506">
                  <w:marLeft w:val="0"/>
                  <w:marRight w:val="0"/>
                  <w:marTop w:val="0"/>
                  <w:marBottom w:val="0"/>
                  <w:divBdr>
                    <w:top w:val="none" w:sz="0" w:space="0" w:color="auto"/>
                    <w:left w:val="none" w:sz="0" w:space="0" w:color="auto"/>
                    <w:bottom w:val="none" w:sz="0" w:space="0" w:color="auto"/>
                    <w:right w:val="none" w:sz="0" w:space="0" w:color="auto"/>
                  </w:divBdr>
                  <w:divsChild>
                    <w:div w:id="917061558">
                      <w:marLeft w:val="0"/>
                      <w:marRight w:val="0"/>
                      <w:marTop w:val="0"/>
                      <w:marBottom w:val="0"/>
                      <w:divBdr>
                        <w:top w:val="none" w:sz="0" w:space="0" w:color="auto"/>
                        <w:left w:val="none" w:sz="0" w:space="0" w:color="auto"/>
                        <w:bottom w:val="none" w:sz="0" w:space="0" w:color="auto"/>
                        <w:right w:val="none" w:sz="0" w:space="0" w:color="auto"/>
                      </w:divBdr>
                    </w:div>
                    <w:div w:id="651057925">
                      <w:marLeft w:val="0"/>
                      <w:marRight w:val="0"/>
                      <w:marTop w:val="0"/>
                      <w:marBottom w:val="0"/>
                      <w:divBdr>
                        <w:top w:val="none" w:sz="0" w:space="0" w:color="auto"/>
                        <w:left w:val="none" w:sz="0" w:space="0" w:color="auto"/>
                        <w:bottom w:val="none" w:sz="0" w:space="0" w:color="auto"/>
                        <w:right w:val="none" w:sz="0" w:space="0" w:color="auto"/>
                      </w:divBdr>
                      <w:divsChild>
                        <w:div w:id="1403987031">
                          <w:marLeft w:val="0"/>
                          <w:marRight w:val="0"/>
                          <w:marTop w:val="0"/>
                          <w:marBottom w:val="0"/>
                          <w:divBdr>
                            <w:top w:val="none" w:sz="0" w:space="0" w:color="auto"/>
                            <w:left w:val="none" w:sz="0" w:space="0" w:color="auto"/>
                            <w:bottom w:val="none" w:sz="0" w:space="0" w:color="auto"/>
                            <w:right w:val="none" w:sz="0" w:space="0" w:color="auto"/>
                          </w:divBdr>
                          <w:divsChild>
                            <w:div w:id="937643379">
                              <w:marLeft w:val="0"/>
                              <w:marRight w:val="0"/>
                              <w:marTop w:val="0"/>
                              <w:marBottom w:val="0"/>
                              <w:divBdr>
                                <w:top w:val="none" w:sz="0" w:space="0" w:color="auto"/>
                                <w:left w:val="none" w:sz="0" w:space="0" w:color="auto"/>
                                <w:bottom w:val="none" w:sz="0" w:space="0" w:color="auto"/>
                                <w:right w:val="none" w:sz="0" w:space="0" w:color="auto"/>
                              </w:divBdr>
                            </w:div>
                          </w:divsChild>
                        </w:div>
                        <w:div w:id="10944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125271">
      <w:bodyDiv w:val="1"/>
      <w:marLeft w:val="0"/>
      <w:marRight w:val="0"/>
      <w:marTop w:val="0"/>
      <w:marBottom w:val="0"/>
      <w:divBdr>
        <w:top w:val="none" w:sz="0" w:space="0" w:color="auto"/>
        <w:left w:val="none" w:sz="0" w:space="0" w:color="auto"/>
        <w:bottom w:val="none" w:sz="0" w:space="0" w:color="auto"/>
        <w:right w:val="none" w:sz="0" w:space="0" w:color="auto"/>
      </w:divBdr>
    </w:div>
    <w:div w:id="1668820127">
      <w:bodyDiv w:val="1"/>
      <w:marLeft w:val="0"/>
      <w:marRight w:val="0"/>
      <w:marTop w:val="0"/>
      <w:marBottom w:val="0"/>
      <w:divBdr>
        <w:top w:val="none" w:sz="0" w:space="0" w:color="auto"/>
        <w:left w:val="none" w:sz="0" w:space="0" w:color="auto"/>
        <w:bottom w:val="none" w:sz="0" w:space="0" w:color="auto"/>
        <w:right w:val="none" w:sz="0" w:space="0" w:color="auto"/>
      </w:divBdr>
    </w:div>
    <w:div w:id="1744183960">
      <w:bodyDiv w:val="1"/>
      <w:marLeft w:val="0"/>
      <w:marRight w:val="0"/>
      <w:marTop w:val="0"/>
      <w:marBottom w:val="0"/>
      <w:divBdr>
        <w:top w:val="none" w:sz="0" w:space="0" w:color="auto"/>
        <w:left w:val="none" w:sz="0" w:space="0" w:color="auto"/>
        <w:bottom w:val="none" w:sz="0" w:space="0" w:color="auto"/>
        <w:right w:val="none" w:sz="0" w:space="0" w:color="auto"/>
      </w:divBdr>
    </w:div>
    <w:div w:id="1901744512">
      <w:bodyDiv w:val="1"/>
      <w:marLeft w:val="0"/>
      <w:marRight w:val="0"/>
      <w:marTop w:val="0"/>
      <w:marBottom w:val="0"/>
      <w:divBdr>
        <w:top w:val="none" w:sz="0" w:space="0" w:color="auto"/>
        <w:left w:val="none" w:sz="0" w:space="0" w:color="auto"/>
        <w:bottom w:val="none" w:sz="0" w:space="0" w:color="auto"/>
        <w:right w:val="none" w:sz="0" w:space="0" w:color="auto"/>
      </w:divBdr>
    </w:div>
    <w:div w:id="1908762175">
      <w:bodyDiv w:val="1"/>
      <w:marLeft w:val="0"/>
      <w:marRight w:val="0"/>
      <w:marTop w:val="0"/>
      <w:marBottom w:val="0"/>
      <w:divBdr>
        <w:top w:val="none" w:sz="0" w:space="0" w:color="auto"/>
        <w:left w:val="none" w:sz="0" w:space="0" w:color="auto"/>
        <w:bottom w:val="none" w:sz="0" w:space="0" w:color="auto"/>
        <w:right w:val="none" w:sz="0" w:space="0" w:color="auto"/>
      </w:divBdr>
    </w:div>
    <w:div w:id="1912352947">
      <w:bodyDiv w:val="1"/>
      <w:marLeft w:val="0"/>
      <w:marRight w:val="0"/>
      <w:marTop w:val="0"/>
      <w:marBottom w:val="0"/>
      <w:divBdr>
        <w:top w:val="none" w:sz="0" w:space="0" w:color="auto"/>
        <w:left w:val="none" w:sz="0" w:space="0" w:color="auto"/>
        <w:bottom w:val="none" w:sz="0" w:space="0" w:color="auto"/>
        <w:right w:val="none" w:sz="0" w:space="0" w:color="auto"/>
      </w:divBdr>
    </w:div>
    <w:div w:id="1958680716">
      <w:bodyDiv w:val="1"/>
      <w:marLeft w:val="0"/>
      <w:marRight w:val="0"/>
      <w:marTop w:val="0"/>
      <w:marBottom w:val="0"/>
      <w:divBdr>
        <w:top w:val="none" w:sz="0" w:space="0" w:color="auto"/>
        <w:left w:val="none" w:sz="0" w:space="0" w:color="auto"/>
        <w:bottom w:val="none" w:sz="0" w:space="0" w:color="auto"/>
        <w:right w:val="none" w:sz="0" w:space="0" w:color="auto"/>
      </w:divBdr>
    </w:div>
    <w:div w:id="1964918692">
      <w:bodyDiv w:val="1"/>
      <w:marLeft w:val="0"/>
      <w:marRight w:val="0"/>
      <w:marTop w:val="0"/>
      <w:marBottom w:val="0"/>
      <w:divBdr>
        <w:top w:val="none" w:sz="0" w:space="0" w:color="auto"/>
        <w:left w:val="none" w:sz="0" w:space="0" w:color="auto"/>
        <w:bottom w:val="none" w:sz="0" w:space="0" w:color="auto"/>
        <w:right w:val="none" w:sz="0" w:space="0" w:color="auto"/>
      </w:divBdr>
    </w:div>
    <w:div w:id="2026638189">
      <w:bodyDiv w:val="1"/>
      <w:marLeft w:val="0"/>
      <w:marRight w:val="0"/>
      <w:marTop w:val="0"/>
      <w:marBottom w:val="0"/>
      <w:divBdr>
        <w:top w:val="none" w:sz="0" w:space="0" w:color="auto"/>
        <w:left w:val="none" w:sz="0" w:space="0" w:color="auto"/>
        <w:bottom w:val="none" w:sz="0" w:space="0" w:color="auto"/>
        <w:right w:val="none" w:sz="0" w:space="0" w:color="auto"/>
      </w:divBdr>
    </w:div>
    <w:div w:id="2056000366">
      <w:bodyDiv w:val="1"/>
      <w:marLeft w:val="0"/>
      <w:marRight w:val="0"/>
      <w:marTop w:val="0"/>
      <w:marBottom w:val="0"/>
      <w:divBdr>
        <w:top w:val="none" w:sz="0" w:space="0" w:color="auto"/>
        <w:left w:val="none" w:sz="0" w:space="0" w:color="auto"/>
        <w:bottom w:val="none" w:sz="0" w:space="0" w:color="auto"/>
        <w:right w:val="none" w:sz="0" w:space="0" w:color="auto"/>
      </w:divBdr>
    </w:div>
    <w:div w:id="20756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as.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as.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angajare" TargetMode="External"/><Relationship Id="rId4" Type="http://schemas.microsoft.com/office/2007/relationships/stylesWithEffects" Target="stylesWithEffects.xml"/><Relationship Id="rId9" Type="http://schemas.openxmlformats.org/officeDocument/2006/relationships/hyperlink" Target="http://www.anofm.md"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E50A-5651-440F-A899-DEBC1A45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17</Pages>
  <Words>4778</Words>
  <Characters>27235</Characters>
  <Application>Microsoft Office Word</Application>
  <DocSecurity>0</DocSecurity>
  <Lines>226</Lines>
  <Paragraphs>63</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31950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User</cp:lastModifiedBy>
  <cp:revision>11</cp:revision>
  <cp:lastPrinted>2016-02-24T07:48:00Z</cp:lastPrinted>
  <dcterms:created xsi:type="dcterms:W3CDTF">2016-02-18T11:03:00Z</dcterms:created>
  <dcterms:modified xsi:type="dcterms:W3CDTF">2016-04-25T05:30:00Z</dcterms:modified>
</cp:coreProperties>
</file>